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lang w:val="en-US" w:eastAsia="zh-CN"/>
        </w:rPr>
        <w:t>1</w:t>
      </w:r>
      <w:r>
        <w:rPr>
          <w:rFonts w:eastAsia="方正小标宋简体"/>
          <w:sz w:val="44"/>
          <w:szCs w:val="44"/>
        </w:rPr>
        <w:t>年推进</w:t>
      </w:r>
      <w:r>
        <w:rPr>
          <w:rFonts w:hint="eastAsia" w:eastAsia="方正小标宋简体"/>
          <w:sz w:val="44"/>
          <w:szCs w:val="44"/>
          <w:lang w:eastAsia="zh-CN"/>
        </w:rPr>
        <w:t>社区</w:t>
      </w:r>
      <w:r>
        <w:rPr>
          <w:rFonts w:eastAsia="方正小标宋简体"/>
          <w:sz w:val="44"/>
          <w:szCs w:val="44"/>
        </w:rPr>
        <w:t>老年健康</w:t>
      </w:r>
      <w:r>
        <w:rPr>
          <w:rFonts w:hint="eastAsia" w:eastAsia="方正小标宋简体"/>
          <w:sz w:val="44"/>
          <w:szCs w:val="44"/>
          <w:lang w:eastAsia="zh-CN"/>
        </w:rPr>
        <w:t>服务</w:t>
      </w:r>
      <w:r>
        <w:rPr>
          <w:rFonts w:eastAsia="方正小标宋简体"/>
          <w:sz w:val="44"/>
          <w:szCs w:val="44"/>
        </w:rPr>
        <w:t>和对失能</w:t>
      </w:r>
    </w:p>
    <w:p>
      <w:pPr>
        <w:adjustRightInd w:val="0"/>
        <w:snapToGrid w:val="0"/>
        <w:spacing w:line="640" w:lineRule="exact"/>
        <w:jc w:val="center"/>
        <w:rPr>
          <w:rFonts w:eastAsia="方正小标宋简体"/>
          <w:sz w:val="44"/>
          <w:szCs w:val="44"/>
        </w:rPr>
      </w:pPr>
      <w:r>
        <w:rPr>
          <w:rFonts w:eastAsia="方正小标宋简体"/>
          <w:sz w:val="44"/>
          <w:szCs w:val="44"/>
        </w:rPr>
        <w:t>半失能老年人提供入户医疗护理</w:t>
      </w:r>
    </w:p>
    <w:p>
      <w:pPr>
        <w:adjustRightInd w:val="0"/>
        <w:snapToGrid w:val="0"/>
        <w:spacing w:line="640" w:lineRule="exact"/>
        <w:jc w:val="center"/>
        <w:rPr>
          <w:rFonts w:eastAsia="方正小标宋简体"/>
          <w:sz w:val="44"/>
          <w:szCs w:val="44"/>
        </w:rPr>
      </w:pPr>
      <w:r>
        <w:rPr>
          <w:rFonts w:eastAsia="方正小标宋简体"/>
          <w:sz w:val="44"/>
          <w:szCs w:val="44"/>
        </w:rPr>
        <w:t>服务工作方案</w:t>
      </w:r>
    </w:p>
    <w:p>
      <w:pPr>
        <w:adjustRightInd w:val="0"/>
        <w:snapToGrid w:val="0"/>
        <w:spacing w:line="640" w:lineRule="exact"/>
        <w:ind w:firstLine="880" w:firstLineChars="200"/>
        <w:jc w:val="center"/>
        <w:rPr>
          <w:rFonts w:eastAsia="方正小标宋简体"/>
          <w:sz w:val="44"/>
          <w:szCs w:val="44"/>
        </w:rPr>
      </w:pPr>
    </w:p>
    <w:p>
      <w:pPr>
        <w:adjustRightInd w:val="0"/>
        <w:snapToGrid w:val="0"/>
        <w:spacing w:line="560" w:lineRule="exact"/>
        <w:ind w:firstLine="640" w:firstLineChars="200"/>
        <w:rPr>
          <w:rFonts w:eastAsia="仿宋_GB2312"/>
          <w:sz w:val="32"/>
          <w:szCs w:val="32"/>
        </w:rPr>
      </w:pPr>
      <w:r>
        <w:rPr>
          <w:rFonts w:eastAsia="仿宋_GB2312"/>
          <w:sz w:val="32"/>
          <w:szCs w:val="32"/>
        </w:rPr>
        <w:t>为落实市委、市政府关注民计民生的工作要求，积极应对人口老龄化，关心关爱老年人，顺应新时代老龄事业发展形势和广大老年人对美好生活的新期盼，202</w:t>
      </w:r>
      <w:r>
        <w:rPr>
          <w:rFonts w:hint="eastAsia" w:eastAsia="仿宋_GB2312"/>
          <w:sz w:val="32"/>
          <w:szCs w:val="32"/>
          <w:lang w:val="en-US" w:eastAsia="zh-CN"/>
        </w:rPr>
        <w:t>1</w:t>
      </w:r>
      <w:r>
        <w:rPr>
          <w:rFonts w:eastAsia="仿宋_GB2312"/>
          <w:sz w:val="32"/>
          <w:szCs w:val="32"/>
        </w:rPr>
        <w:t>年，我市将“推进社区</w:t>
      </w:r>
      <w:r>
        <w:rPr>
          <w:rFonts w:hint="eastAsia" w:eastAsia="仿宋_GB2312"/>
          <w:sz w:val="32"/>
          <w:szCs w:val="32"/>
          <w:lang w:eastAsia="zh-CN"/>
        </w:rPr>
        <w:t>居家养老</w:t>
      </w:r>
      <w:r>
        <w:rPr>
          <w:rFonts w:eastAsia="仿宋_GB2312"/>
          <w:sz w:val="32"/>
          <w:szCs w:val="32"/>
        </w:rPr>
        <w:t>”列入“20项民心工程”，</w:t>
      </w:r>
      <w:r>
        <w:rPr>
          <w:rFonts w:hint="eastAsia" w:eastAsia="仿宋_GB2312"/>
          <w:sz w:val="32"/>
          <w:szCs w:val="32"/>
          <w:lang w:eastAsia="zh-CN"/>
        </w:rPr>
        <w:t>持续推进社区老年健康服务，</w:t>
      </w:r>
      <w:r>
        <w:rPr>
          <w:rFonts w:eastAsia="仿宋_GB2312"/>
          <w:sz w:val="32"/>
          <w:szCs w:val="32"/>
        </w:rPr>
        <w:t>参加家庭医生签约服务老年人达到100万人，为60岁以上失能、半失能人员提供入户医疗护理服务达到15万人次</w:t>
      </w:r>
      <w:r>
        <w:rPr>
          <w:rFonts w:hint="eastAsia" w:eastAsia="仿宋_GB2312"/>
          <w:sz w:val="32"/>
          <w:szCs w:val="32"/>
          <w:lang w:eastAsia="zh-CN"/>
        </w:rPr>
        <w:t>。</w:t>
      </w:r>
      <w:r>
        <w:rPr>
          <w:rFonts w:eastAsia="仿宋_GB2312"/>
          <w:sz w:val="32"/>
          <w:szCs w:val="32"/>
        </w:rPr>
        <w:t>为保证此项工作顺利开展，特制定本方案。</w:t>
      </w:r>
    </w:p>
    <w:p>
      <w:pPr>
        <w:adjustRightInd w:val="0"/>
        <w:snapToGrid w:val="0"/>
        <w:spacing w:line="560" w:lineRule="exact"/>
        <w:ind w:firstLine="633" w:firstLineChars="198"/>
        <w:rPr>
          <w:rFonts w:eastAsia="黑体"/>
          <w:sz w:val="32"/>
          <w:szCs w:val="32"/>
        </w:rPr>
      </w:pPr>
      <w:r>
        <w:rPr>
          <w:rFonts w:eastAsia="黑体"/>
          <w:sz w:val="32"/>
          <w:szCs w:val="32"/>
        </w:rPr>
        <w:t>一、总体要求</w:t>
      </w:r>
    </w:p>
    <w:p>
      <w:pPr>
        <w:adjustRightInd w:val="0"/>
        <w:snapToGrid w:val="0"/>
        <w:spacing w:line="560" w:lineRule="exact"/>
        <w:ind w:firstLine="640" w:firstLineChars="200"/>
        <w:rPr>
          <w:rFonts w:eastAsia="仿宋_GB2312"/>
          <w:sz w:val="32"/>
          <w:szCs w:val="32"/>
        </w:rPr>
      </w:pPr>
      <w:r>
        <w:rPr>
          <w:rFonts w:eastAsia="楷体_GB2312"/>
          <w:sz w:val="32"/>
          <w:szCs w:val="32"/>
        </w:rPr>
        <w:t>（一）基本思路。</w:t>
      </w:r>
      <w:r>
        <w:rPr>
          <w:rFonts w:hint="eastAsia" w:ascii="Times New Roman" w:hAnsi="Times New Roman" w:eastAsia="仿宋_GB2312" w:cs="Times New Roman"/>
          <w:sz w:val="32"/>
          <w:szCs w:val="32"/>
          <w:lang w:eastAsia="zh-CN"/>
        </w:rPr>
        <w:t>深入贯彻</w:t>
      </w:r>
      <w:r>
        <w:rPr>
          <w:rFonts w:ascii="Times New Roman" w:hAnsi="Times New Roman" w:eastAsia="仿宋_GB2312" w:cs="Times New Roman"/>
          <w:sz w:val="32"/>
          <w:szCs w:val="32"/>
        </w:rPr>
        <w:t>习近平新时代中国特色社会主义思想，全面贯彻党的十九大和十九届</w:t>
      </w:r>
      <w:r>
        <w:rPr>
          <w:rFonts w:eastAsia="仿宋_GB2312"/>
          <w:sz w:val="32"/>
          <w:szCs w:val="32"/>
        </w:rPr>
        <w:t>二中、三中</w:t>
      </w:r>
      <w:r>
        <w:rPr>
          <w:rFonts w:hint="eastAsia" w:eastAsia="仿宋_GB2312"/>
          <w:sz w:val="32"/>
          <w:szCs w:val="32"/>
          <w:lang w:eastAsia="zh-CN"/>
        </w:rPr>
        <w:t>、</w:t>
      </w:r>
      <w:r>
        <w:rPr>
          <w:rFonts w:eastAsia="仿宋_GB2312"/>
          <w:sz w:val="32"/>
          <w:szCs w:val="32"/>
        </w:rPr>
        <w:t>四中</w:t>
      </w:r>
      <w:r>
        <w:rPr>
          <w:rFonts w:hint="eastAsia" w:eastAsia="仿宋_GB2312"/>
          <w:sz w:val="32"/>
          <w:szCs w:val="32"/>
          <w:lang w:eastAsia="zh-CN"/>
        </w:rPr>
        <w:t>、五中</w:t>
      </w:r>
      <w:r>
        <w:rPr>
          <w:rFonts w:eastAsia="仿宋_GB2312"/>
          <w:sz w:val="32"/>
          <w:szCs w:val="32"/>
        </w:rPr>
        <w:t>全会</w:t>
      </w:r>
      <w:r>
        <w:rPr>
          <w:rFonts w:hint="eastAsia" w:eastAsia="仿宋_GB2312"/>
          <w:sz w:val="32"/>
          <w:szCs w:val="32"/>
          <w:lang w:eastAsia="zh-CN"/>
        </w:rPr>
        <w:t>以及中央经济工作会议</w:t>
      </w:r>
      <w:r>
        <w:rPr>
          <w:rFonts w:eastAsia="仿宋_GB2312"/>
          <w:sz w:val="32"/>
          <w:szCs w:val="32"/>
        </w:rPr>
        <w:t>精神，</w:t>
      </w:r>
      <w:r>
        <w:rPr>
          <w:rFonts w:hint="eastAsia" w:eastAsia="仿宋_GB2312"/>
          <w:sz w:val="32"/>
          <w:szCs w:val="32"/>
          <w:lang w:eastAsia="zh-CN"/>
        </w:rPr>
        <w:t>认真</w:t>
      </w:r>
      <w:r>
        <w:rPr>
          <w:rFonts w:eastAsia="仿宋_GB2312"/>
          <w:sz w:val="32"/>
          <w:szCs w:val="32"/>
        </w:rPr>
        <w:t>落实习近平总书记对天津工作“三个着力”重要要求</w:t>
      </w:r>
      <w:r>
        <w:rPr>
          <w:rFonts w:hint="eastAsia" w:eastAsia="仿宋_GB2312"/>
          <w:sz w:val="32"/>
          <w:szCs w:val="32"/>
          <w:lang w:eastAsia="zh-CN"/>
        </w:rPr>
        <w:t>和一系列重要指示批示精神</w:t>
      </w:r>
      <w:r>
        <w:rPr>
          <w:rFonts w:eastAsia="仿宋_GB2312"/>
          <w:sz w:val="32"/>
          <w:szCs w:val="32"/>
        </w:rPr>
        <w:t>，</w:t>
      </w:r>
      <w:r>
        <w:rPr>
          <w:rFonts w:hint="eastAsia" w:eastAsia="仿宋_GB2312"/>
          <w:sz w:val="32"/>
          <w:szCs w:val="32"/>
          <w:lang w:eastAsia="zh-CN"/>
        </w:rPr>
        <w:t>按照市委十一届九次、十次全会部署，紧紧抓住群众最急最忧最盼的紧迫问题，把以人民为中心的发展思想落到实处，进一步提高保障和改善民生水平，</w:t>
      </w:r>
      <w:r>
        <w:rPr>
          <w:rFonts w:eastAsia="仿宋_GB2312"/>
          <w:sz w:val="32"/>
          <w:szCs w:val="32"/>
        </w:rPr>
        <w:t>通过完善和深化家庭医生签约服务，为老年人提供综合、连续、协同的基本医疗、基本公共卫生和个性化健康管理服务，使老年人获得感、幸福感、安全感显著提高。</w:t>
      </w:r>
    </w:p>
    <w:p>
      <w:pPr>
        <w:adjustRightInd w:val="0"/>
        <w:snapToGrid w:val="0"/>
        <w:spacing w:line="560" w:lineRule="exact"/>
        <w:ind w:firstLine="633" w:firstLineChars="198"/>
        <w:rPr>
          <w:rFonts w:eastAsia="仿宋_GB2312"/>
          <w:bCs/>
          <w:sz w:val="32"/>
          <w:szCs w:val="32"/>
        </w:rPr>
      </w:pPr>
      <w:r>
        <w:rPr>
          <w:rFonts w:eastAsia="楷体_GB2312"/>
          <w:sz w:val="32"/>
          <w:szCs w:val="32"/>
        </w:rPr>
        <w:t>（二）目标任务。</w:t>
      </w:r>
      <w:r>
        <w:rPr>
          <w:rFonts w:eastAsia="仿宋_GB2312"/>
          <w:kern w:val="0"/>
          <w:sz w:val="32"/>
          <w:szCs w:val="32"/>
        </w:rPr>
        <w:t>2020年全市</w:t>
      </w:r>
      <w:r>
        <w:rPr>
          <w:rFonts w:eastAsia="仿宋_GB2312"/>
          <w:sz w:val="32"/>
          <w:szCs w:val="32"/>
        </w:rPr>
        <w:t>家庭医生签约服务老年人达到100万人以上，</w:t>
      </w:r>
      <w:r>
        <w:rPr>
          <w:rFonts w:eastAsia="仿宋_GB2312"/>
          <w:kern w:val="0"/>
          <w:sz w:val="32"/>
          <w:szCs w:val="32"/>
        </w:rPr>
        <w:t>为60岁及以上失能、半失能人员提供入户医疗、家庭病床等医疗护理服务，全年达到15万人次以上。</w:t>
      </w:r>
    </w:p>
    <w:p>
      <w:pPr>
        <w:adjustRightInd w:val="0"/>
        <w:snapToGrid w:val="0"/>
        <w:spacing w:line="560" w:lineRule="exact"/>
        <w:ind w:firstLine="633" w:firstLineChars="198"/>
        <w:rPr>
          <w:rFonts w:eastAsia="黑体"/>
          <w:sz w:val="32"/>
          <w:szCs w:val="32"/>
        </w:rPr>
      </w:pPr>
      <w:r>
        <w:rPr>
          <w:rFonts w:eastAsia="黑体"/>
          <w:sz w:val="32"/>
          <w:szCs w:val="32"/>
        </w:rPr>
        <w:t>二、服务对象</w:t>
      </w:r>
    </w:p>
    <w:p>
      <w:pPr>
        <w:pStyle w:val="2"/>
        <w:adjustRightInd w:val="0"/>
        <w:snapToGrid w:val="0"/>
        <w:spacing w:line="560" w:lineRule="exact"/>
        <w:ind w:firstLine="640" w:firstLineChars="200"/>
        <w:rPr>
          <w:rFonts w:eastAsia="仿宋_GB2312"/>
          <w:szCs w:val="32"/>
          <w:lang w:eastAsia="zh-CN"/>
        </w:rPr>
      </w:pPr>
      <w:r>
        <w:rPr>
          <w:rFonts w:eastAsia="仿宋_GB2312"/>
          <w:szCs w:val="32"/>
        </w:rPr>
        <w:t>（一）</w:t>
      </w:r>
      <w:r>
        <w:rPr>
          <w:rFonts w:eastAsia="仿宋_GB2312"/>
          <w:szCs w:val="32"/>
          <w:lang w:eastAsia="zh-CN"/>
        </w:rPr>
        <w:t>参与家庭医生签约服务的本市60岁及以上常住居民。</w:t>
      </w:r>
    </w:p>
    <w:p>
      <w:pPr>
        <w:pStyle w:val="2"/>
        <w:adjustRightInd w:val="0"/>
        <w:snapToGrid w:val="0"/>
        <w:spacing w:line="560" w:lineRule="exact"/>
        <w:ind w:firstLine="640" w:firstLineChars="200"/>
        <w:rPr>
          <w:rFonts w:eastAsia="仿宋_GB2312"/>
          <w:szCs w:val="32"/>
          <w:lang w:eastAsia="zh-CN"/>
        </w:rPr>
      </w:pPr>
      <w:r>
        <w:rPr>
          <w:rFonts w:eastAsia="仿宋_GB2312"/>
          <w:szCs w:val="32"/>
        </w:rPr>
        <w:t>（二）家庭医生</w:t>
      </w:r>
      <w:r>
        <w:rPr>
          <w:rFonts w:eastAsia="仿宋_GB2312"/>
          <w:szCs w:val="32"/>
          <w:lang w:eastAsia="zh-CN"/>
        </w:rPr>
        <w:t>入户医疗护理服务对象面向家庭医生</w:t>
      </w:r>
      <w:r>
        <w:rPr>
          <w:rFonts w:eastAsia="仿宋_GB2312"/>
          <w:szCs w:val="32"/>
        </w:rPr>
        <w:t>签约服务系统重点人群中标记为“失能”的60岁及以上老年人；区民政部门提供名册内的60岁及以上失能、半失能老年人；长期卧床、行动不便且有入户服务需求的60岁及以上老年人</w:t>
      </w:r>
      <w:r>
        <w:rPr>
          <w:rFonts w:eastAsia="仿宋_GB2312"/>
          <w:szCs w:val="32"/>
          <w:lang w:eastAsia="zh-CN"/>
        </w:rPr>
        <w:t>。</w:t>
      </w:r>
    </w:p>
    <w:p>
      <w:pPr>
        <w:pStyle w:val="2"/>
        <w:adjustRightInd w:val="0"/>
        <w:snapToGrid w:val="0"/>
        <w:spacing w:line="560" w:lineRule="exact"/>
        <w:ind w:firstLine="640" w:firstLineChars="200"/>
        <w:rPr>
          <w:rFonts w:eastAsia="仿宋_GB2312"/>
          <w:szCs w:val="32"/>
          <w:lang w:eastAsia="zh-CN"/>
        </w:rPr>
      </w:pPr>
      <w:r>
        <w:rPr>
          <w:rFonts w:eastAsia="仿宋_GB2312"/>
          <w:szCs w:val="32"/>
          <w:lang w:eastAsia="zh-CN"/>
        </w:rPr>
        <w:t>鼓励有能力的家庭医生团队为60岁以下失能人群提供力所能及的入户医疗护理服务。</w:t>
      </w:r>
    </w:p>
    <w:p>
      <w:pPr>
        <w:adjustRightInd w:val="0"/>
        <w:snapToGrid w:val="0"/>
        <w:spacing w:line="560" w:lineRule="exact"/>
        <w:ind w:firstLine="633" w:firstLineChars="198"/>
        <w:rPr>
          <w:rFonts w:eastAsia="黑体"/>
          <w:sz w:val="32"/>
          <w:szCs w:val="32"/>
        </w:rPr>
      </w:pPr>
      <w:r>
        <w:rPr>
          <w:rFonts w:eastAsia="黑体"/>
          <w:sz w:val="32"/>
          <w:szCs w:val="32"/>
        </w:rPr>
        <w:t>三、服务内容</w:t>
      </w:r>
    </w:p>
    <w:p>
      <w:pPr>
        <w:adjustRightInd w:val="0"/>
        <w:snapToGrid w:val="0"/>
        <w:spacing w:line="560" w:lineRule="exact"/>
        <w:ind w:firstLine="636" w:firstLineChars="199"/>
        <w:rPr>
          <w:rFonts w:eastAsia="仿宋_GB2312"/>
          <w:sz w:val="32"/>
          <w:szCs w:val="32"/>
        </w:rPr>
      </w:pPr>
      <w:r>
        <w:rPr>
          <w:rFonts w:eastAsia="楷体_GB2312"/>
          <w:sz w:val="32"/>
          <w:szCs w:val="32"/>
        </w:rPr>
        <w:t>（一）老年健康体检</w:t>
      </w:r>
      <w:r>
        <w:rPr>
          <w:rFonts w:hint="eastAsia" w:eastAsia="楷体_GB2312"/>
          <w:sz w:val="32"/>
          <w:szCs w:val="32"/>
          <w:lang w:eastAsia="zh-CN"/>
        </w:rPr>
        <w:t>。</w:t>
      </w:r>
      <w:r>
        <w:rPr>
          <w:rFonts w:eastAsia="仿宋_GB2312"/>
          <w:sz w:val="32"/>
          <w:szCs w:val="32"/>
        </w:rPr>
        <w:t>按《国家基本公共卫生服务规范（第三版）》中《老年人健康管理服务规范》每年提供1次健康管理服务，包括生活方式和健康状况评估、体格检查、辅助检查和健康指导。辅助检查项目包括血常规、尿常规、肝功能、肾功能、空腹血糖、血脂、心电图等。</w:t>
      </w:r>
    </w:p>
    <w:p>
      <w:pPr>
        <w:adjustRightInd w:val="0"/>
        <w:snapToGrid w:val="0"/>
        <w:spacing w:line="560" w:lineRule="exact"/>
        <w:ind w:firstLine="636" w:firstLineChars="199"/>
        <w:rPr>
          <w:rFonts w:eastAsia="仿宋_GB2312"/>
          <w:sz w:val="32"/>
          <w:szCs w:val="32"/>
        </w:rPr>
      </w:pPr>
      <w:r>
        <w:rPr>
          <w:rFonts w:eastAsia="楷体_GB2312"/>
          <w:sz w:val="32"/>
          <w:szCs w:val="32"/>
        </w:rPr>
        <w:t>（二）慢病健康管理</w:t>
      </w:r>
      <w:r>
        <w:rPr>
          <w:rFonts w:hint="eastAsia" w:eastAsia="楷体_GB2312"/>
          <w:sz w:val="32"/>
          <w:szCs w:val="32"/>
          <w:lang w:eastAsia="zh-CN"/>
        </w:rPr>
        <w:t>。</w:t>
      </w:r>
      <w:r>
        <w:rPr>
          <w:rFonts w:eastAsia="仿宋_GB2312"/>
          <w:sz w:val="32"/>
          <w:szCs w:val="32"/>
        </w:rPr>
        <w:t>按《国家基本公共卫生服务规范（第三版）》中《高血压患者健康管理服务规范》和《2型糖尿病患者健康管理规范》每年提供4次面对面随访，了解血压、血糖控制情况以及日常用药情况，并根据血压和血糖值进行针对性进行健康生活指导和必要的临床干预。</w:t>
      </w:r>
    </w:p>
    <w:p>
      <w:pPr>
        <w:adjustRightInd w:val="0"/>
        <w:snapToGrid w:val="0"/>
        <w:spacing w:line="560" w:lineRule="exact"/>
        <w:ind w:firstLine="640" w:firstLineChars="200"/>
        <w:rPr>
          <w:rFonts w:eastAsia="仿宋_GB2312"/>
          <w:color w:val="000000"/>
          <w:kern w:val="0"/>
          <w:sz w:val="32"/>
          <w:szCs w:val="32"/>
        </w:rPr>
      </w:pPr>
      <w:r>
        <w:rPr>
          <w:rFonts w:eastAsia="楷体_GB2312"/>
          <w:sz w:val="32"/>
          <w:szCs w:val="32"/>
        </w:rPr>
        <w:t>（三）家庭病床服务</w:t>
      </w:r>
      <w:r>
        <w:rPr>
          <w:rFonts w:hint="eastAsia" w:eastAsia="楷体_GB2312"/>
          <w:sz w:val="32"/>
          <w:szCs w:val="32"/>
          <w:lang w:eastAsia="zh-CN"/>
        </w:rPr>
        <w:t>。</w:t>
      </w:r>
      <w:r>
        <w:rPr>
          <w:rFonts w:eastAsia="仿宋_GB2312"/>
          <w:sz w:val="32"/>
          <w:szCs w:val="32"/>
        </w:rPr>
        <w:t>对脑血管病导致偏瘫等慢性病患者提出建立家庭病床申请的，由患者或其家属提出建床需求，经过家庭医生判定适合在居民家庭进行检查、治疗和护理，并符合医保部门家庭病床条件的，</w:t>
      </w:r>
      <w:r>
        <w:rPr>
          <w:rFonts w:eastAsia="仿宋_GB2312"/>
          <w:color w:val="000000"/>
          <w:kern w:val="0"/>
          <w:sz w:val="32"/>
          <w:szCs w:val="32"/>
        </w:rPr>
        <w:t>由家庭医生团队按照</w:t>
      </w:r>
      <w:r>
        <w:rPr>
          <w:rFonts w:eastAsia="仿宋_GB2312"/>
          <w:sz w:val="32"/>
          <w:szCs w:val="32"/>
        </w:rPr>
        <w:t>《天津市基层医疗机构家庭病床管理办法（试行）》建立家庭病床，并提供</w:t>
      </w:r>
      <w:r>
        <w:rPr>
          <w:rFonts w:eastAsia="仿宋_GB2312"/>
          <w:color w:val="000000"/>
          <w:kern w:val="0"/>
          <w:sz w:val="32"/>
          <w:szCs w:val="32"/>
        </w:rPr>
        <w:t>定期查床、治疗和护理服务。</w:t>
      </w:r>
    </w:p>
    <w:p>
      <w:pPr>
        <w:adjustRightInd w:val="0"/>
        <w:snapToGrid w:val="0"/>
        <w:spacing w:line="560" w:lineRule="exact"/>
        <w:ind w:firstLine="640" w:firstLineChars="200"/>
        <w:rPr>
          <w:rFonts w:eastAsia="仿宋_GB2312"/>
          <w:sz w:val="32"/>
          <w:szCs w:val="32"/>
        </w:rPr>
      </w:pPr>
      <w:r>
        <w:rPr>
          <w:rFonts w:eastAsia="楷体_GB2312"/>
          <w:color w:val="000000"/>
          <w:kern w:val="0"/>
          <w:sz w:val="32"/>
          <w:szCs w:val="32"/>
        </w:rPr>
        <w:t>（四）特需上门服务</w:t>
      </w:r>
      <w:r>
        <w:rPr>
          <w:rFonts w:hint="eastAsia" w:eastAsia="楷体_GB2312"/>
          <w:color w:val="000000"/>
          <w:kern w:val="0"/>
          <w:sz w:val="32"/>
          <w:szCs w:val="32"/>
          <w:lang w:eastAsia="zh-CN"/>
        </w:rPr>
        <w:t>。</w:t>
      </w:r>
      <w:r>
        <w:rPr>
          <w:rFonts w:eastAsia="仿宋_GB2312"/>
          <w:sz w:val="32"/>
          <w:szCs w:val="32"/>
        </w:rPr>
        <w:t>对诊断明确、病情稳定，且因长期卧床、行动不便到医疗机构就诊确有困难的60岁及以上老年人，可提供临时特需上门服务。由患者或其家属提出临时医疗服务需求，经过家庭医生判定适合在居民家庭进行检查、治疗和护理的，签订临时补充协议，由家庭医生团队按照《天津市家庭医生特需上门服务规范（试行）》</w:t>
      </w:r>
      <w:r>
        <w:rPr>
          <w:rFonts w:hint="eastAsia" w:eastAsia="仿宋_GB2312"/>
          <w:sz w:val="32"/>
          <w:szCs w:val="32"/>
          <w:lang w:eastAsia="zh-CN"/>
        </w:rPr>
        <w:t>、</w:t>
      </w:r>
      <w:r>
        <w:rPr>
          <w:rFonts w:eastAsia="仿宋_GB2312"/>
          <w:sz w:val="32"/>
          <w:szCs w:val="32"/>
        </w:rPr>
        <w:t>《天津市家庭医生特需上门服务项目表（试行）》</w:t>
      </w:r>
      <w:r>
        <w:rPr>
          <w:rFonts w:hint="eastAsia" w:eastAsia="仿宋_GB2312"/>
          <w:sz w:val="32"/>
          <w:szCs w:val="32"/>
          <w:lang w:eastAsia="zh-CN"/>
        </w:rPr>
        <w:t>、《天津市居家医疗服务项目指南（</w:t>
      </w:r>
      <w:r>
        <w:rPr>
          <w:rFonts w:hint="eastAsia" w:eastAsia="仿宋_GB2312"/>
          <w:sz w:val="32"/>
          <w:szCs w:val="32"/>
          <w:lang w:val="en-US" w:eastAsia="zh-CN"/>
        </w:rPr>
        <w:t>2021年第一版</w:t>
      </w:r>
      <w:r>
        <w:rPr>
          <w:rFonts w:hint="eastAsia" w:eastAsia="仿宋_GB2312"/>
          <w:sz w:val="32"/>
          <w:szCs w:val="32"/>
          <w:lang w:eastAsia="zh-CN"/>
        </w:rPr>
        <w:t>）》</w:t>
      </w:r>
      <w:r>
        <w:rPr>
          <w:rFonts w:eastAsia="仿宋_GB2312"/>
          <w:sz w:val="32"/>
          <w:szCs w:val="32"/>
        </w:rPr>
        <w:t>为患者入户提供血、尿常规、心电图等检查检验项目，以及导尿、压疮护理、慢病用药输液等医疗服务，有条件的团队可提供针灸、推拿、拔罐等中医药服务。</w:t>
      </w:r>
    </w:p>
    <w:p>
      <w:pPr>
        <w:adjustRightInd w:val="0"/>
        <w:snapToGrid w:val="0"/>
        <w:spacing w:line="560" w:lineRule="exact"/>
        <w:ind w:firstLine="640" w:firstLineChars="200"/>
        <w:rPr>
          <w:rFonts w:eastAsia="仿宋_GB2312"/>
          <w:sz w:val="32"/>
          <w:szCs w:val="32"/>
        </w:rPr>
      </w:pPr>
      <w:r>
        <w:rPr>
          <w:rFonts w:eastAsia="楷体_GB2312"/>
          <w:sz w:val="32"/>
          <w:szCs w:val="32"/>
        </w:rPr>
        <w:t>（五）慢病用药保障</w:t>
      </w:r>
      <w:r>
        <w:rPr>
          <w:rFonts w:hint="eastAsia" w:eastAsia="楷体_GB2312"/>
          <w:sz w:val="32"/>
          <w:szCs w:val="32"/>
          <w:lang w:eastAsia="zh-CN"/>
        </w:rPr>
        <w:t>。</w:t>
      </w:r>
      <w:r>
        <w:rPr>
          <w:rFonts w:eastAsia="仿宋_GB2312"/>
          <w:sz w:val="32"/>
          <w:szCs w:val="32"/>
        </w:rPr>
        <w:t>推广使用“家医签约慢病用药管理系统”，将居民用药需求、家医建立用药计划和药库按需备药进行紧密联动衔接，有效提高慢病用药精准保障效果。对于慢病系统内管理的签约居民，高血压、糖尿病、冠心病、脑卒中用药要按计划予以持续足量保障。</w:t>
      </w:r>
    </w:p>
    <w:p>
      <w:pPr>
        <w:adjustRightInd w:val="0"/>
        <w:snapToGrid w:val="0"/>
        <w:spacing w:line="560" w:lineRule="exact"/>
        <w:ind w:firstLine="640" w:firstLineChars="200"/>
        <w:rPr>
          <w:rFonts w:eastAsia="楷体_GB2312"/>
          <w:sz w:val="32"/>
          <w:szCs w:val="32"/>
        </w:rPr>
      </w:pPr>
      <w:r>
        <w:rPr>
          <w:rFonts w:eastAsia="楷体_GB2312"/>
          <w:sz w:val="32"/>
          <w:szCs w:val="32"/>
        </w:rPr>
        <w:t>（六）</w:t>
      </w:r>
      <w:r>
        <w:rPr>
          <w:rFonts w:eastAsia="楷体_GB2312"/>
          <w:color w:val="000000"/>
          <w:sz w:val="32"/>
          <w:szCs w:val="32"/>
        </w:rPr>
        <w:t>线上预约服务</w:t>
      </w:r>
      <w:r>
        <w:rPr>
          <w:rFonts w:hint="eastAsia" w:eastAsia="楷体_GB2312"/>
          <w:color w:val="000000"/>
          <w:sz w:val="32"/>
          <w:szCs w:val="32"/>
          <w:lang w:eastAsia="zh-CN"/>
        </w:rPr>
        <w:t>。</w:t>
      </w:r>
      <w:r>
        <w:rPr>
          <w:rFonts w:eastAsia="仿宋_GB2312"/>
          <w:sz w:val="32"/>
          <w:szCs w:val="32"/>
        </w:rPr>
        <w:t>居民可</w:t>
      </w:r>
      <w:r>
        <w:rPr>
          <w:rFonts w:eastAsia="仿宋_GB2312"/>
          <w:spacing w:val="-6"/>
          <w:sz w:val="32"/>
          <w:szCs w:val="32"/>
        </w:rPr>
        <w:t>通过</w:t>
      </w:r>
      <w:r>
        <w:rPr>
          <w:rFonts w:eastAsia="仿宋_GB2312"/>
          <w:sz w:val="32"/>
          <w:szCs w:val="32"/>
        </w:rPr>
        <w:t>“健康天津APP”</w:t>
      </w:r>
      <w:r>
        <w:rPr>
          <w:rFonts w:eastAsia="仿宋_GB2312"/>
          <w:spacing w:val="-6"/>
          <w:sz w:val="32"/>
          <w:szCs w:val="32"/>
        </w:rPr>
        <w:t>线上预约</w:t>
      </w:r>
      <w:r>
        <w:rPr>
          <w:rFonts w:eastAsia="仿宋_GB2312"/>
          <w:sz w:val="32"/>
          <w:szCs w:val="32"/>
        </w:rPr>
        <w:t>家医签约、家庭病床、用药申请，基层机构线下提供</w:t>
      </w:r>
      <w:r>
        <w:rPr>
          <w:rFonts w:eastAsia="仿宋_GB2312"/>
          <w:spacing w:val="-6"/>
          <w:sz w:val="32"/>
          <w:szCs w:val="32"/>
        </w:rPr>
        <w:t>便捷、优质、高效服务，加快推动家庭医生签约服务智能化，</w:t>
      </w:r>
      <w:r>
        <w:rPr>
          <w:rFonts w:eastAsia="仿宋_GB2312"/>
          <w:sz w:val="32"/>
          <w:szCs w:val="32"/>
        </w:rPr>
        <w:t>推进基层信息化优服惠民，不断提升签约履约服务水平</w:t>
      </w:r>
      <w:r>
        <w:rPr>
          <w:rFonts w:eastAsia="仿宋_GB2312"/>
          <w:spacing w:val="-6"/>
          <w:sz w:val="32"/>
          <w:szCs w:val="32"/>
        </w:rPr>
        <w:t>，增进医患互动，提升居民签约服务感受</w:t>
      </w:r>
      <w:r>
        <w:rPr>
          <w:rFonts w:eastAsia="仿宋_GB2312"/>
          <w:sz w:val="32"/>
          <w:szCs w:val="32"/>
        </w:rPr>
        <w:t>。</w:t>
      </w:r>
    </w:p>
    <w:p>
      <w:pPr>
        <w:adjustRightInd w:val="0"/>
        <w:snapToGrid w:val="0"/>
        <w:spacing w:line="560" w:lineRule="exact"/>
        <w:ind w:firstLine="633" w:firstLineChars="198"/>
        <w:rPr>
          <w:rFonts w:eastAsia="黑体"/>
          <w:sz w:val="32"/>
          <w:szCs w:val="32"/>
        </w:rPr>
      </w:pPr>
      <w:r>
        <w:rPr>
          <w:rFonts w:eastAsia="黑体"/>
          <w:sz w:val="32"/>
          <w:szCs w:val="32"/>
        </w:rPr>
        <w:t>四、实施步骤</w:t>
      </w:r>
    </w:p>
    <w:p>
      <w:pPr>
        <w:adjustRightInd w:val="0"/>
        <w:snapToGrid w:val="0"/>
        <w:spacing w:line="560" w:lineRule="exact"/>
        <w:ind w:firstLine="640" w:firstLineChars="200"/>
        <w:rPr>
          <w:rFonts w:eastAsia="仿宋_GB2312"/>
          <w:bCs/>
          <w:sz w:val="32"/>
          <w:szCs w:val="32"/>
        </w:rPr>
      </w:pPr>
      <w:r>
        <w:rPr>
          <w:rFonts w:eastAsia="楷体_GB2312"/>
          <w:bCs/>
          <w:color w:val="000000"/>
          <w:kern w:val="0"/>
          <w:sz w:val="32"/>
          <w:szCs w:val="32"/>
        </w:rPr>
        <w:t>（一）</w:t>
      </w:r>
      <w:r>
        <w:rPr>
          <w:rFonts w:hint="eastAsia" w:eastAsia="楷体_GB2312"/>
          <w:bCs/>
          <w:color w:val="000000"/>
          <w:kern w:val="0"/>
          <w:sz w:val="32"/>
          <w:szCs w:val="32"/>
          <w:lang w:val="en-US" w:eastAsia="zh-CN"/>
        </w:rPr>
        <w:t>2021年</w:t>
      </w:r>
      <w:r>
        <w:rPr>
          <w:rFonts w:eastAsia="楷体_GB2312"/>
          <w:bCs/>
          <w:color w:val="000000"/>
          <w:kern w:val="0"/>
          <w:sz w:val="32"/>
          <w:szCs w:val="32"/>
        </w:rPr>
        <w:t>第一季度</w:t>
      </w:r>
      <w:r>
        <w:rPr>
          <w:rFonts w:hint="eastAsia" w:eastAsia="楷体_GB2312"/>
          <w:bCs/>
          <w:color w:val="000000"/>
          <w:kern w:val="0"/>
          <w:sz w:val="32"/>
          <w:szCs w:val="32"/>
          <w:lang w:eastAsia="zh-CN"/>
        </w:rPr>
        <w:t>。</w:t>
      </w:r>
      <w:r>
        <w:rPr>
          <w:rFonts w:eastAsia="仿宋_GB2312"/>
          <w:kern w:val="0"/>
          <w:sz w:val="32"/>
          <w:szCs w:val="32"/>
        </w:rPr>
        <w:t>市卫生健康委制定并印发《</w:t>
      </w:r>
      <w:r>
        <w:rPr>
          <w:rFonts w:eastAsia="仿宋_GB2312"/>
          <w:sz w:val="32"/>
          <w:szCs w:val="32"/>
        </w:rPr>
        <w:t>20</w:t>
      </w:r>
      <w:r>
        <w:rPr>
          <w:rFonts w:hint="eastAsia" w:eastAsia="仿宋_GB2312"/>
          <w:sz w:val="32"/>
          <w:szCs w:val="32"/>
          <w:lang w:val="en-US" w:eastAsia="zh-CN"/>
        </w:rPr>
        <w:t>21</w:t>
      </w:r>
      <w:r>
        <w:rPr>
          <w:rFonts w:eastAsia="仿宋_GB2312"/>
          <w:sz w:val="32"/>
          <w:szCs w:val="32"/>
        </w:rPr>
        <w:t>年推进</w:t>
      </w:r>
      <w:r>
        <w:rPr>
          <w:rFonts w:hint="eastAsia" w:eastAsia="仿宋_GB2312"/>
          <w:sz w:val="32"/>
          <w:szCs w:val="32"/>
          <w:lang w:eastAsia="zh-CN"/>
        </w:rPr>
        <w:t>社区</w:t>
      </w:r>
      <w:r>
        <w:rPr>
          <w:rFonts w:eastAsia="仿宋_GB2312"/>
          <w:sz w:val="32"/>
          <w:szCs w:val="32"/>
        </w:rPr>
        <w:t>老年健康</w:t>
      </w:r>
      <w:r>
        <w:rPr>
          <w:rFonts w:hint="eastAsia" w:eastAsia="仿宋_GB2312"/>
          <w:sz w:val="32"/>
          <w:szCs w:val="32"/>
          <w:lang w:eastAsia="zh-CN"/>
        </w:rPr>
        <w:t>服务</w:t>
      </w:r>
      <w:r>
        <w:rPr>
          <w:rFonts w:eastAsia="仿宋_GB2312"/>
          <w:sz w:val="32"/>
          <w:szCs w:val="32"/>
        </w:rPr>
        <w:t>和对失能半失能老年人提供入户医疗护理服务工作方案</w:t>
      </w:r>
      <w:r>
        <w:rPr>
          <w:rFonts w:eastAsia="仿宋_GB2312"/>
          <w:kern w:val="0"/>
          <w:sz w:val="32"/>
          <w:szCs w:val="32"/>
        </w:rPr>
        <w:t>》，明确各区工作任务指标。各区卫生健康委出台本区实施方案，并组织辖区基层医疗卫生机构开展老年人家庭医生签约服务，为</w:t>
      </w:r>
      <w:r>
        <w:rPr>
          <w:rFonts w:eastAsia="仿宋_GB2312"/>
          <w:bCs/>
          <w:sz w:val="32"/>
          <w:szCs w:val="32"/>
        </w:rPr>
        <w:t>60岁及以上失能、半失能人员提供入户医疗护理服务项目，并对60岁及以上失能、半失能人员做好信息系统标识。</w:t>
      </w:r>
    </w:p>
    <w:p>
      <w:pPr>
        <w:adjustRightInd w:val="0"/>
        <w:snapToGrid w:val="0"/>
        <w:spacing w:line="560" w:lineRule="exact"/>
        <w:ind w:firstLine="640" w:firstLineChars="200"/>
        <w:rPr>
          <w:rFonts w:eastAsia="仿宋_GB2312"/>
          <w:kern w:val="0"/>
          <w:sz w:val="32"/>
          <w:szCs w:val="32"/>
        </w:rPr>
      </w:pPr>
      <w:r>
        <w:rPr>
          <w:rFonts w:eastAsia="楷体_GB2312"/>
          <w:kern w:val="0"/>
          <w:sz w:val="32"/>
          <w:szCs w:val="32"/>
        </w:rPr>
        <w:t>（二）</w:t>
      </w:r>
      <w:r>
        <w:rPr>
          <w:rFonts w:hint="eastAsia" w:eastAsia="楷体_GB2312"/>
          <w:kern w:val="0"/>
          <w:sz w:val="32"/>
          <w:szCs w:val="32"/>
          <w:lang w:val="en-US" w:eastAsia="zh-CN"/>
        </w:rPr>
        <w:t>2021年</w:t>
      </w:r>
      <w:r>
        <w:rPr>
          <w:rFonts w:eastAsia="楷体_GB2312"/>
          <w:kern w:val="0"/>
          <w:sz w:val="32"/>
          <w:szCs w:val="32"/>
        </w:rPr>
        <w:t>第二、三季度</w:t>
      </w:r>
      <w:r>
        <w:rPr>
          <w:rFonts w:hint="eastAsia" w:eastAsia="楷体_GB2312"/>
          <w:kern w:val="0"/>
          <w:sz w:val="32"/>
          <w:szCs w:val="32"/>
          <w:lang w:eastAsia="zh-CN"/>
        </w:rPr>
        <w:t>。</w:t>
      </w:r>
      <w:r>
        <w:rPr>
          <w:rFonts w:eastAsia="仿宋_GB2312"/>
          <w:kern w:val="0"/>
          <w:sz w:val="32"/>
          <w:szCs w:val="32"/>
        </w:rPr>
        <w:t>各区按进度要求落实老年人家庭医生签约服务和60岁及以上失能、半失能人员入户医疗服务工作，并适时进行督导，确保年度任务高质量完成。及时总结工作经验并根据居民反馈，不断提高服务质量。</w:t>
      </w:r>
    </w:p>
    <w:p>
      <w:pPr>
        <w:spacing w:line="560" w:lineRule="exact"/>
        <w:ind w:firstLine="640" w:firstLineChars="200"/>
        <w:rPr>
          <w:rFonts w:eastAsia="仿宋_GB2312"/>
          <w:kern w:val="0"/>
          <w:sz w:val="32"/>
          <w:szCs w:val="32"/>
        </w:rPr>
      </w:pPr>
      <w:r>
        <w:rPr>
          <w:rFonts w:eastAsia="楷体_GB2312"/>
          <w:bCs/>
          <w:color w:val="000000"/>
          <w:kern w:val="0"/>
          <w:sz w:val="32"/>
          <w:szCs w:val="32"/>
        </w:rPr>
        <w:t>（三）</w:t>
      </w:r>
      <w:r>
        <w:rPr>
          <w:rFonts w:hint="eastAsia" w:eastAsia="楷体_GB2312"/>
          <w:bCs/>
          <w:color w:val="000000"/>
          <w:kern w:val="0"/>
          <w:sz w:val="32"/>
          <w:szCs w:val="32"/>
          <w:lang w:val="en-US" w:eastAsia="zh-CN"/>
        </w:rPr>
        <w:t>2021年</w:t>
      </w:r>
      <w:r>
        <w:rPr>
          <w:rFonts w:eastAsia="楷体_GB2312"/>
          <w:bCs/>
          <w:color w:val="000000"/>
          <w:kern w:val="0"/>
          <w:sz w:val="32"/>
          <w:szCs w:val="32"/>
        </w:rPr>
        <w:t>第四季度</w:t>
      </w:r>
      <w:r>
        <w:rPr>
          <w:rFonts w:hint="eastAsia" w:eastAsia="楷体_GB2312"/>
          <w:bCs/>
          <w:color w:val="000000"/>
          <w:kern w:val="0"/>
          <w:sz w:val="32"/>
          <w:szCs w:val="32"/>
          <w:lang w:eastAsia="zh-CN"/>
        </w:rPr>
        <w:t>。</w:t>
      </w:r>
      <w:r>
        <w:rPr>
          <w:rFonts w:eastAsia="仿宋_GB2312"/>
          <w:kern w:val="0"/>
          <w:sz w:val="32"/>
          <w:szCs w:val="32"/>
        </w:rPr>
        <w:t>各区在12月10日前完成本区民心工程任务指标，于年底前完成工作总结。开展市区两级老年人家庭医生签约服务和失能、半失能老年人入户医疗护理服务项目工作评价。</w:t>
      </w:r>
    </w:p>
    <w:p>
      <w:pPr>
        <w:adjustRightInd w:val="0"/>
        <w:snapToGrid w:val="0"/>
        <w:spacing w:line="560" w:lineRule="exact"/>
        <w:ind w:firstLine="633" w:firstLineChars="198"/>
        <w:rPr>
          <w:rFonts w:eastAsia="黑体"/>
          <w:sz w:val="32"/>
          <w:szCs w:val="32"/>
        </w:rPr>
      </w:pPr>
      <w:r>
        <w:rPr>
          <w:rFonts w:eastAsia="黑体"/>
          <w:sz w:val="32"/>
          <w:szCs w:val="32"/>
        </w:rPr>
        <w:t>五、保障措施</w:t>
      </w:r>
    </w:p>
    <w:p>
      <w:pPr>
        <w:tabs>
          <w:tab w:val="left" w:pos="8241"/>
        </w:tabs>
        <w:adjustRightInd w:val="0"/>
        <w:snapToGrid w:val="0"/>
        <w:spacing w:line="560" w:lineRule="exact"/>
        <w:ind w:firstLine="640" w:firstLineChars="200"/>
        <w:rPr>
          <w:rFonts w:eastAsia="仿宋_GB2312"/>
          <w:sz w:val="32"/>
          <w:szCs w:val="32"/>
        </w:rPr>
      </w:pPr>
      <w:r>
        <w:rPr>
          <w:rFonts w:eastAsia="楷体_GB2312"/>
          <w:sz w:val="32"/>
          <w:szCs w:val="32"/>
        </w:rPr>
        <w:t>（一）加强组织领导</w:t>
      </w:r>
      <w:r>
        <w:rPr>
          <w:rFonts w:hint="eastAsia" w:eastAsia="楷体_GB2312"/>
          <w:sz w:val="32"/>
          <w:szCs w:val="32"/>
          <w:lang w:eastAsia="zh-CN"/>
        </w:rPr>
        <w:t>。</w:t>
      </w:r>
      <w:r>
        <w:rPr>
          <w:rFonts w:eastAsia="仿宋_GB2312"/>
          <w:sz w:val="32"/>
          <w:szCs w:val="32"/>
        </w:rPr>
        <w:t>各区要将开展老年人家庭医生签约服务，为60岁及以上失能、半失能人员提供入户医疗、家庭病床等医疗护理服务工作，作为全市医改任务的一项重要内容来抓。按照全市统一部署，各区卫生健康委要按照本区任务指标（附件1）制定具体工作实施方案并组织实施，细化签约服务操作措施，建立工作任务台账，层层压实责任。要主动联系民政、医保、残联部门及各街镇、居（村）委会做好支持配合工作，确保工作顺利开展。</w:t>
      </w:r>
    </w:p>
    <w:p>
      <w:pPr>
        <w:adjustRightInd w:val="0"/>
        <w:snapToGrid w:val="0"/>
        <w:spacing w:line="560" w:lineRule="exact"/>
        <w:ind w:firstLine="640" w:firstLineChars="200"/>
        <w:rPr>
          <w:rFonts w:eastAsia="仿宋_GB2312"/>
          <w:sz w:val="32"/>
          <w:szCs w:val="32"/>
        </w:rPr>
      </w:pPr>
      <w:r>
        <w:rPr>
          <w:rFonts w:eastAsia="楷体_GB2312"/>
          <w:sz w:val="32"/>
          <w:szCs w:val="32"/>
        </w:rPr>
        <w:t>（二）提高团队服务能力</w:t>
      </w:r>
      <w:r>
        <w:rPr>
          <w:rFonts w:hint="eastAsia" w:eastAsia="楷体_GB2312"/>
          <w:sz w:val="32"/>
          <w:szCs w:val="32"/>
          <w:lang w:eastAsia="zh-CN"/>
        </w:rPr>
        <w:t>。</w:t>
      </w:r>
      <w:r>
        <w:rPr>
          <w:rFonts w:eastAsia="仿宋_GB2312"/>
          <w:sz w:val="32"/>
          <w:szCs w:val="32"/>
        </w:rPr>
        <w:t>加强家庭医生团队建设，提升基层医务人员服务能力。转变基层医疗卫生服务模式，以人民为中心，以需求为导向，为</w:t>
      </w:r>
      <w:r>
        <w:rPr>
          <w:rFonts w:eastAsia="仿宋_GB2312"/>
          <w:kern w:val="0"/>
          <w:sz w:val="32"/>
          <w:szCs w:val="32"/>
        </w:rPr>
        <w:t>老年人特别是失能、半失能老年人</w:t>
      </w:r>
      <w:r>
        <w:rPr>
          <w:rFonts w:eastAsia="仿宋_GB2312"/>
          <w:sz w:val="32"/>
          <w:szCs w:val="32"/>
        </w:rPr>
        <w:t>提供精准健康管理服务。加强家庭医生团队业务培训，发挥医联体内参与家庭医生团队专家的指导作用，不断提高基层医疗卫生服务能力。借助信息化，提高团队工作效率，鼓励探索上门送药等延伸服务。落实好家庭医生签约服务费政策，完善内部激励机制，充分调动医务人员工作积极性，为工作的顺利实施创造良好基础。</w:t>
      </w:r>
    </w:p>
    <w:p>
      <w:pPr>
        <w:adjustRightInd w:val="0"/>
        <w:snapToGrid w:val="0"/>
        <w:spacing w:line="560" w:lineRule="exact"/>
        <w:ind w:firstLine="640" w:firstLineChars="200"/>
        <w:rPr>
          <w:rFonts w:eastAsia="仿宋_GB2312"/>
          <w:sz w:val="32"/>
          <w:szCs w:val="32"/>
        </w:rPr>
      </w:pPr>
      <w:r>
        <w:rPr>
          <w:rFonts w:eastAsia="楷体_GB2312"/>
          <w:sz w:val="32"/>
          <w:szCs w:val="32"/>
        </w:rPr>
        <w:t>（三）加强</w:t>
      </w:r>
      <w:r>
        <w:rPr>
          <w:rFonts w:eastAsia="楷体_GB2312"/>
          <w:bCs/>
          <w:sz w:val="32"/>
          <w:szCs w:val="32"/>
        </w:rPr>
        <w:t>监督管理</w:t>
      </w:r>
      <w:r>
        <w:rPr>
          <w:rFonts w:hint="eastAsia" w:eastAsia="楷体_GB2312"/>
          <w:bCs/>
          <w:sz w:val="32"/>
          <w:szCs w:val="32"/>
          <w:lang w:eastAsia="zh-CN"/>
        </w:rPr>
        <w:t>。</w:t>
      </w:r>
      <w:r>
        <w:rPr>
          <w:rFonts w:eastAsia="仿宋_GB2312"/>
          <w:sz w:val="32"/>
          <w:szCs w:val="32"/>
        </w:rPr>
        <w:t>进一步完善家医签约信息化系统，在系统中明确标记60岁及以上失能、半失能人员，保障家医团队为上述人群精准提供家庭医生签约服务和入户医疗护理服务。通过信息化系统建立民心工程监测制度，各基层医疗卫生机构要将民心工程任务完成情况及时记录和更新，按时上传本机构诊疗数据，确保民心工程任务数据（附件2、3）的实效性。发挥区级监管作用，并将服务数量、服务质量、居民满意度等工作情况纳入团队绩效考核。市卫生健康委将对各区工作开展情况进行适时督导，确保民心工程顺利开展。</w:t>
      </w:r>
    </w:p>
    <w:p>
      <w:pPr>
        <w:spacing w:line="560" w:lineRule="exact"/>
        <w:ind w:firstLine="640" w:firstLineChars="200"/>
        <w:rPr>
          <w:rFonts w:eastAsia="仿宋_GB2312"/>
          <w:sz w:val="32"/>
          <w:szCs w:val="32"/>
        </w:rPr>
      </w:pPr>
      <w:r>
        <w:rPr>
          <w:rFonts w:eastAsia="楷体_GB2312"/>
          <w:sz w:val="32"/>
          <w:szCs w:val="32"/>
        </w:rPr>
        <w:t>（四）开展服务宣传</w:t>
      </w:r>
      <w:r>
        <w:rPr>
          <w:rFonts w:hint="eastAsia" w:eastAsia="楷体_GB2312"/>
          <w:sz w:val="32"/>
          <w:szCs w:val="32"/>
          <w:lang w:eastAsia="zh-CN"/>
        </w:rPr>
        <w:t>。</w:t>
      </w:r>
      <w:bookmarkStart w:id="0" w:name="_家庭医生式服务居民评价表_1"/>
      <w:bookmarkEnd w:id="0"/>
      <w:bookmarkStart w:id="1" w:name="_（范文）"/>
      <w:bookmarkEnd w:id="1"/>
      <w:bookmarkStart w:id="2" w:name="_家庭医生式服务居民评价表"/>
      <w:bookmarkEnd w:id="2"/>
      <w:r>
        <w:rPr>
          <w:rFonts w:eastAsia="仿宋_GB2312"/>
          <w:sz w:val="32"/>
          <w:szCs w:val="32"/>
        </w:rPr>
        <w:t>充分发挥各种公共媒体作用，对推进社区老年健康服务民心工程进行科学、合理、有序宣传，引导有需求的老年人主动签约，并对家庭医生服务内容和相关政策进行充分告知和解释，树立居民科学就医理念，引导合理就医流向，提升老年人及家人对家庭医生团队的信任度和认可度。</w:t>
      </w:r>
    </w:p>
    <w:p>
      <w:pPr>
        <w:spacing w:line="560" w:lineRule="exact"/>
        <w:ind w:firstLine="640" w:firstLineChars="200"/>
        <w:rPr>
          <w:rFonts w:eastAsia="仿宋_GB2312"/>
          <w:sz w:val="32"/>
          <w:szCs w:val="32"/>
        </w:rPr>
      </w:pPr>
    </w:p>
    <w:p>
      <w:pPr>
        <w:adjustRightInd w:val="0"/>
        <w:snapToGrid w:val="0"/>
        <w:spacing w:line="560" w:lineRule="exact"/>
        <w:ind w:left="1918" w:leftChars="304" w:hanging="1280" w:hangingChars="400"/>
        <w:rPr>
          <w:rFonts w:eastAsia="仿宋_GB2312"/>
          <w:sz w:val="32"/>
          <w:szCs w:val="32"/>
        </w:rPr>
      </w:pPr>
      <w:r>
        <w:rPr>
          <w:rFonts w:eastAsia="仿宋_GB2312"/>
          <w:sz w:val="32"/>
          <w:szCs w:val="32"/>
        </w:rPr>
        <w:t>附件：1.天津市202</w:t>
      </w:r>
      <w:r>
        <w:rPr>
          <w:rFonts w:hint="eastAsia" w:eastAsia="仿宋_GB2312"/>
          <w:sz w:val="32"/>
          <w:szCs w:val="32"/>
          <w:lang w:val="en-US" w:eastAsia="zh-CN"/>
        </w:rPr>
        <w:t>1</w:t>
      </w:r>
      <w:r>
        <w:rPr>
          <w:rFonts w:eastAsia="仿宋_GB2312"/>
          <w:sz w:val="32"/>
          <w:szCs w:val="32"/>
        </w:rPr>
        <w:t>年</w:t>
      </w:r>
      <w:r>
        <w:rPr>
          <w:rFonts w:hint="eastAsia" w:eastAsia="仿宋_GB2312"/>
          <w:sz w:val="32"/>
          <w:szCs w:val="32"/>
          <w:lang w:eastAsia="zh-CN"/>
        </w:rPr>
        <w:t>社区</w:t>
      </w:r>
      <w:r>
        <w:rPr>
          <w:rFonts w:eastAsia="仿宋_GB2312"/>
          <w:sz w:val="32"/>
          <w:szCs w:val="32"/>
        </w:rPr>
        <w:t>老年健康服务民心工程任务量分配表</w:t>
      </w:r>
    </w:p>
    <w:p>
      <w:pPr>
        <w:adjustRightInd w:val="0"/>
        <w:snapToGrid w:val="0"/>
        <w:spacing w:line="560" w:lineRule="exact"/>
        <w:ind w:firstLine="1600" w:firstLineChars="500"/>
        <w:rPr>
          <w:rFonts w:eastAsia="仿宋_GB2312"/>
          <w:sz w:val="32"/>
          <w:szCs w:val="32"/>
        </w:rPr>
      </w:pPr>
      <w:r>
        <w:rPr>
          <w:rFonts w:eastAsia="仿宋_GB2312"/>
          <w:sz w:val="32"/>
          <w:szCs w:val="32"/>
        </w:rPr>
        <w:t>2.天津市老年人家庭医生签约服务工作统计表</w:t>
      </w:r>
    </w:p>
    <w:p>
      <w:pPr>
        <w:adjustRightInd w:val="0"/>
        <w:snapToGrid w:val="0"/>
        <w:spacing w:line="560" w:lineRule="exact"/>
        <w:ind w:left="1916" w:leftChars="760" w:hanging="320" w:hangingChars="100"/>
        <w:rPr>
          <w:rFonts w:eastAsia="仿宋_GB2312"/>
          <w:sz w:val="32"/>
          <w:szCs w:val="32"/>
        </w:rPr>
      </w:pPr>
      <w:r>
        <w:rPr>
          <w:rFonts w:eastAsia="仿宋_GB2312"/>
          <w:sz w:val="32"/>
          <w:szCs w:val="32"/>
        </w:rPr>
        <w:t>3.天津市60岁及以上失能 半失能人员入户医疗护理统计表</w:t>
      </w:r>
    </w:p>
    <w:p>
      <w:pPr>
        <w:adjustRightInd w:val="0"/>
        <w:snapToGrid w:val="0"/>
        <w:spacing w:line="560" w:lineRule="exact"/>
        <w:ind w:left="1918" w:leftChars="304" w:hanging="1280" w:hangingChars="400"/>
        <w:rPr>
          <w:rFonts w:eastAsia="仿宋_GB2312"/>
          <w:sz w:val="32"/>
          <w:szCs w:val="32"/>
        </w:rPr>
      </w:pPr>
    </w:p>
    <w:p>
      <w:pPr>
        <w:adjustRightInd w:val="0"/>
        <w:snapToGrid w:val="0"/>
        <w:spacing w:line="520" w:lineRule="exact"/>
        <w:rPr>
          <w:rFonts w:eastAsia="黑体"/>
          <w:sz w:val="32"/>
          <w:szCs w:val="32"/>
        </w:rPr>
      </w:pPr>
    </w:p>
    <w:p>
      <w:pPr>
        <w:adjustRightInd w:val="0"/>
        <w:snapToGrid w:val="0"/>
        <w:spacing w:line="520" w:lineRule="exact"/>
        <w:rPr>
          <w:rFonts w:eastAsia="黑体"/>
          <w:sz w:val="32"/>
          <w:szCs w:val="32"/>
        </w:rPr>
      </w:pPr>
    </w:p>
    <w:p>
      <w:pPr>
        <w:adjustRightInd w:val="0"/>
        <w:snapToGrid w:val="0"/>
        <w:spacing w:line="520" w:lineRule="exact"/>
        <w:rPr>
          <w:rFonts w:eastAsia="黑体"/>
          <w:sz w:val="32"/>
          <w:szCs w:val="32"/>
        </w:rPr>
      </w:pPr>
    </w:p>
    <w:p>
      <w:pPr>
        <w:adjustRightInd w:val="0"/>
        <w:snapToGrid w:val="0"/>
        <w:spacing w:line="520" w:lineRule="exact"/>
        <w:rPr>
          <w:rFonts w:eastAsia="黑体"/>
          <w:sz w:val="32"/>
          <w:szCs w:val="32"/>
        </w:rPr>
      </w:pPr>
    </w:p>
    <w:p>
      <w:pPr>
        <w:adjustRightInd w:val="0"/>
        <w:snapToGrid w:val="0"/>
        <w:spacing w:line="520" w:lineRule="exact"/>
        <w:rPr>
          <w:rFonts w:eastAsia="黑体"/>
          <w:sz w:val="32"/>
          <w:szCs w:val="32"/>
        </w:rPr>
      </w:pPr>
    </w:p>
    <w:p>
      <w:pPr>
        <w:adjustRightInd w:val="0"/>
        <w:snapToGrid w:val="0"/>
        <w:spacing w:line="520" w:lineRule="exact"/>
        <w:rPr>
          <w:rFonts w:eastAsia="黑体"/>
          <w:sz w:val="32"/>
          <w:szCs w:val="32"/>
        </w:rPr>
      </w:pPr>
    </w:p>
    <w:p>
      <w:pPr>
        <w:adjustRightInd w:val="0"/>
        <w:snapToGrid w:val="0"/>
        <w:spacing w:line="520" w:lineRule="exact"/>
        <w:rPr>
          <w:rFonts w:eastAsia="黑体"/>
          <w:sz w:val="32"/>
          <w:szCs w:val="32"/>
        </w:rPr>
      </w:pPr>
    </w:p>
    <w:p>
      <w:pPr>
        <w:adjustRightInd/>
        <w:snapToGrid/>
        <w:spacing w:line="240" w:lineRule="auto"/>
        <w:rPr>
          <w:rFonts w:eastAsia="黑体"/>
          <w:sz w:val="32"/>
          <w:szCs w:val="32"/>
        </w:rPr>
      </w:pPr>
      <w:r>
        <w:rPr>
          <w:rFonts w:eastAsia="黑体"/>
          <w:sz w:val="32"/>
          <w:szCs w:val="32"/>
        </w:rPr>
        <w:br w:type="page"/>
      </w:r>
    </w:p>
    <w:p>
      <w:pPr>
        <w:adjustRightInd w:val="0"/>
        <w:snapToGrid w:val="0"/>
        <w:spacing w:line="520" w:lineRule="exact"/>
        <w:rPr>
          <w:rFonts w:eastAsia="黑体"/>
          <w:sz w:val="32"/>
          <w:szCs w:val="32"/>
        </w:rPr>
      </w:pPr>
      <w:r>
        <w:rPr>
          <w:rFonts w:eastAsia="黑体"/>
          <w:sz w:val="32"/>
          <w:szCs w:val="32"/>
        </w:rPr>
        <w:t>附件1</w:t>
      </w:r>
    </w:p>
    <w:p>
      <w:pPr>
        <w:adjustRightInd w:val="0"/>
        <w:snapToGrid w:val="0"/>
        <w:spacing w:line="520" w:lineRule="exact"/>
        <w:jc w:val="center"/>
        <w:rPr>
          <w:rFonts w:eastAsia="方正小标宋简体"/>
          <w:sz w:val="40"/>
          <w:szCs w:val="44"/>
        </w:rPr>
      </w:pPr>
    </w:p>
    <w:p>
      <w:pPr>
        <w:adjustRightInd w:val="0"/>
        <w:snapToGrid w:val="0"/>
        <w:spacing w:line="520" w:lineRule="exact"/>
        <w:jc w:val="center"/>
        <w:rPr>
          <w:rFonts w:eastAsia="方正小标宋简体"/>
          <w:sz w:val="36"/>
          <w:szCs w:val="36"/>
        </w:rPr>
      </w:pPr>
      <w:r>
        <w:rPr>
          <w:rFonts w:eastAsia="方正小标宋简体"/>
          <w:sz w:val="36"/>
          <w:szCs w:val="36"/>
        </w:rPr>
        <w:t>202</w:t>
      </w:r>
      <w:r>
        <w:rPr>
          <w:rFonts w:hint="eastAsia" w:eastAsia="方正小标宋简体"/>
          <w:sz w:val="36"/>
          <w:szCs w:val="36"/>
          <w:lang w:val="en-US" w:eastAsia="zh-CN"/>
        </w:rPr>
        <w:t>1</w:t>
      </w:r>
      <w:r>
        <w:rPr>
          <w:rFonts w:eastAsia="方正小标宋简体"/>
          <w:sz w:val="36"/>
          <w:szCs w:val="36"/>
        </w:rPr>
        <w:t>年天津市老年健康服务民心工程任务量分配表</w:t>
      </w:r>
    </w:p>
    <w:p>
      <w:pPr>
        <w:adjustRightInd w:val="0"/>
        <w:snapToGrid w:val="0"/>
        <w:spacing w:line="520" w:lineRule="exact"/>
        <w:jc w:val="center"/>
        <w:rPr>
          <w:rFonts w:eastAsia="方正小标宋简体"/>
          <w:sz w:val="36"/>
          <w:szCs w:val="36"/>
        </w:rPr>
      </w:pPr>
    </w:p>
    <w:tbl>
      <w:tblPr>
        <w:tblStyle w:val="7"/>
        <w:tblW w:w="8967" w:type="dxa"/>
        <w:tblInd w:w="93" w:type="dxa"/>
        <w:tblLayout w:type="autofit"/>
        <w:tblCellMar>
          <w:top w:w="0" w:type="dxa"/>
          <w:left w:w="108" w:type="dxa"/>
          <w:bottom w:w="0" w:type="dxa"/>
          <w:right w:w="108" w:type="dxa"/>
        </w:tblCellMar>
      </w:tblPr>
      <w:tblGrid>
        <w:gridCol w:w="2721"/>
        <w:gridCol w:w="2939"/>
        <w:gridCol w:w="3307"/>
      </w:tblGrid>
      <w:tr>
        <w:trPr>
          <w:trHeight w:val="340" w:hRule="atLeast"/>
        </w:trPr>
        <w:tc>
          <w:tcPr>
            <w:tcW w:w="2721"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center"/>
              <w:rPr>
                <w:rFonts w:eastAsia="黑体"/>
                <w:color w:val="000000"/>
                <w:kern w:val="0"/>
                <w:sz w:val="32"/>
                <w:szCs w:val="32"/>
              </w:rPr>
            </w:pPr>
            <w:r>
              <w:rPr>
                <w:rFonts w:eastAsia="黑体"/>
                <w:color w:val="000000"/>
                <w:kern w:val="0"/>
                <w:sz w:val="32"/>
                <w:szCs w:val="32"/>
              </w:rPr>
              <w:t>行政区</w:t>
            </w:r>
          </w:p>
        </w:tc>
        <w:tc>
          <w:tcPr>
            <w:tcW w:w="2939" w:type="dxa"/>
            <w:tcBorders>
              <w:top w:val="single" w:color="auto" w:sz="8" w:space="0"/>
              <w:left w:val="nil"/>
              <w:bottom w:val="single" w:color="auto" w:sz="8" w:space="0"/>
              <w:right w:val="nil"/>
            </w:tcBorders>
            <w:shd w:val="clear" w:color="auto" w:fill="auto"/>
            <w:noWrap w:val="0"/>
            <w:vAlign w:val="top"/>
          </w:tcPr>
          <w:p>
            <w:pPr>
              <w:widowControl/>
              <w:jc w:val="center"/>
              <w:rPr>
                <w:rFonts w:eastAsia="黑体"/>
                <w:color w:val="000000"/>
                <w:kern w:val="0"/>
                <w:sz w:val="32"/>
                <w:szCs w:val="32"/>
              </w:rPr>
            </w:pPr>
            <w:r>
              <w:rPr>
                <w:rFonts w:eastAsia="黑体"/>
                <w:color w:val="000000"/>
                <w:kern w:val="0"/>
                <w:sz w:val="32"/>
                <w:szCs w:val="32"/>
              </w:rPr>
              <w:t>老年人家医签约</w:t>
            </w:r>
          </w:p>
        </w:tc>
        <w:tc>
          <w:tcPr>
            <w:tcW w:w="3307" w:type="dxa"/>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eastAsia="黑体"/>
                <w:color w:val="000000"/>
                <w:kern w:val="0"/>
                <w:sz w:val="32"/>
                <w:szCs w:val="32"/>
              </w:rPr>
            </w:pPr>
            <w:r>
              <w:rPr>
                <w:rFonts w:eastAsia="黑体"/>
                <w:color w:val="000000"/>
                <w:kern w:val="0"/>
                <w:sz w:val="32"/>
                <w:szCs w:val="32"/>
              </w:rPr>
              <w:t>入户医疗护理服务</w:t>
            </w:r>
          </w:p>
        </w:tc>
      </w:tr>
      <w:tr>
        <w:trPr>
          <w:trHeight w:val="340" w:hRule="atLeast"/>
        </w:trPr>
        <w:tc>
          <w:tcPr>
            <w:tcW w:w="2721" w:type="dxa"/>
            <w:tcBorders>
              <w:top w:val="nil"/>
              <w:left w:val="single" w:color="auto" w:sz="8" w:space="0"/>
              <w:bottom w:val="single" w:color="auto" w:sz="8" w:space="0"/>
              <w:right w:val="single" w:color="auto" w:sz="8" w:space="0"/>
            </w:tcBorders>
            <w:shd w:val="clear" w:color="auto" w:fill="auto"/>
            <w:noWrap w:val="0"/>
            <w:vAlign w:val="bottom"/>
          </w:tcPr>
          <w:p>
            <w:pPr>
              <w:jc w:val="center"/>
              <w:rPr>
                <w:rFonts w:eastAsia="仿宋_GB2312"/>
                <w:color w:val="000000"/>
                <w:sz w:val="32"/>
                <w:szCs w:val="32"/>
              </w:rPr>
            </w:pPr>
            <w:r>
              <w:rPr>
                <w:rFonts w:eastAsia="仿宋_GB2312"/>
                <w:color w:val="000000"/>
                <w:sz w:val="32"/>
                <w:szCs w:val="32"/>
              </w:rPr>
              <w:t>和平区</w:t>
            </w:r>
          </w:p>
        </w:tc>
        <w:tc>
          <w:tcPr>
            <w:tcW w:w="2939" w:type="dxa"/>
            <w:tcBorders>
              <w:top w:val="nil"/>
              <w:left w:val="nil"/>
              <w:bottom w:val="single" w:color="auto" w:sz="8" w:space="0"/>
              <w:right w:val="nil"/>
            </w:tcBorders>
            <w:shd w:val="clear" w:color="auto" w:fill="auto"/>
            <w:noWrap w:val="0"/>
            <w:vAlign w:val="bottom"/>
          </w:tcPr>
          <w:p>
            <w:pPr>
              <w:jc w:val="center"/>
              <w:rPr>
                <w:color w:val="000000"/>
                <w:sz w:val="32"/>
                <w:szCs w:val="32"/>
              </w:rPr>
            </w:pPr>
            <w:r>
              <w:rPr>
                <w:color w:val="000000"/>
                <w:sz w:val="32"/>
                <w:szCs w:val="32"/>
              </w:rPr>
              <w:t xml:space="preserve">27553 </w:t>
            </w:r>
          </w:p>
        </w:tc>
        <w:tc>
          <w:tcPr>
            <w:tcW w:w="3307" w:type="dxa"/>
            <w:tcBorders>
              <w:top w:val="nil"/>
              <w:left w:val="nil"/>
              <w:bottom w:val="single" w:color="auto" w:sz="8" w:space="0"/>
              <w:right w:val="single" w:color="auto" w:sz="8" w:space="0"/>
            </w:tcBorders>
            <w:shd w:val="clear" w:color="auto" w:fill="auto"/>
            <w:noWrap w:val="0"/>
            <w:vAlign w:val="bottom"/>
          </w:tcPr>
          <w:p>
            <w:pPr>
              <w:jc w:val="center"/>
              <w:rPr>
                <w:color w:val="000000"/>
                <w:sz w:val="32"/>
                <w:szCs w:val="32"/>
              </w:rPr>
            </w:pPr>
            <w:r>
              <w:rPr>
                <w:color w:val="000000"/>
                <w:sz w:val="32"/>
                <w:szCs w:val="32"/>
              </w:rPr>
              <w:t xml:space="preserve">4133 </w:t>
            </w:r>
          </w:p>
        </w:tc>
      </w:tr>
      <w:tr>
        <w:trPr>
          <w:trHeight w:val="340" w:hRule="atLeast"/>
        </w:trPr>
        <w:tc>
          <w:tcPr>
            <w:tcW w:w="2721" w:type="dxa"/>
            <w:tcBorders>
              <w:top w:val="nil"/>
              <w:left w:val="single" w:color="auto" w:sz="8" w:space="0"/>
              <w:bottom w:val="single" w:color="auto" w:sz="8" w:space="0"/>
              <w:right w:val="single" w:color="auto" w:sz="8" w:space="0"/>
            </w:tcBorders>
            <w:shd w:val="clear" w:color="auto" w:fill="auto"/>
            <w:noWrap w:val="0"/>
            <w:vAlign w:val="bottom"/>
          </w:tcPr>
          <w:p>
            <w:pPr>
              <w:jc w:val="center"/>
              <w:rPr>
                <w:rFonts w:eastAsia="仿宋_GB2312"/>
                <w:color w:val="000000"/>
                <w:sz w:val="32"/>
                <w:szCs w:val="32"/>
              </w:rPr>
            </w:pPr>
            <w:r>
              <w:rPr>
                <w:rFonts w:eastAsia="仿宋_GB2312"/>
                <w:color w:val="000000"/>
                <w:sz w:val="32"/>
                <w:szCs w:val="32"/>
              </w:rPr>
              <w:t>河东区</w:t>
            </w:r>
          </w:p>
        </w:tc>
        <w:tc>
          <w:tcPr>
            <w:tcW w:w="2939" w:type="dxa"/>
            <w:tcBorders>
              <w:top w:val="nil"/>
              <w:left w:val="nil"/>
              <w:bottom w:val="single" w:color="auto" w:sz="8" w:space="0"/>
              <w:right w:val="nil"/>
            </w:tcBorders>
            <w:shd w:val="clear" w:color="auto" w:fill="auto"/>
            <w:noWrap w:val="0"/>
            <w:vAlign w:val="bottom"/>
          </w:tcPr>
          <w:p>
            <w:pPr>
              <w:jc w:val="center"/>
              <w:rPr>
                <w:color w:val="000000"/>
                <w:sz w:val="32"/>
                <w:szCs w:val="32"/>
              </w:rPr>
            </w:pPr>
            <w:r>
              <w:rPr>
                <w:color w:val="000000"/>
                <w:sz w:val="32"/>
                <w:szCs w:val="32"/>
              </w:rPr>
              <w:t xml:space="preserve">76188 </w:t>
            </w:r>
          </w:p>
        </w:tc>
        <w:tc>
          <w:tcPr>
            <w:tcW w:w="3307" w:type="dxa"/>
            <w:tcBorders>
              <w:top w:val="nil"/>
              <w:left w:val="nil"/>
              <w:bottom w:val="single" w:color="auto" w:sz="8" w:space="0"/>
              <w:right w:val="single" w:color="auto" w:sz="8" w:space="0"/>
            </w:tcBorders>
            <w:shd w:val="clear" w:color="auto" w:fill="auto"/>
            <w:noWrap w:val="0"/>
            <w:vAlign w:val="bottom"/>
          </w:tcPr>
          <w:p>
            <w:pPr>
              <w:jc w:val="center"/>
              <w:rPr>
                <w:color w:val="000000"/>
                <w:sz w:val="32"/>
                <w:szCs w:val="32"/>
              </w:rPr>
            </w:pPr>
            <w:r>
              <w:rPr>
                <w:color w:val="000000"/>
                <w:sz w:val="32"/>
                <w:szCs w:val="32"/>
              </w:rPr>
              <w:t xml:space="preserve">11428 </w:t>
            </w:r>
          </w:p>
        </w:tc>
      </w:tr>
      <w:tr>
        <w:trPr>
          <w:trHeight w:val="340" w:hRule="atLeast"/>
        </w:trPr>
        <w:tc>
          <w:tcPr>
            <w:tcW w:w="2721" w:type="dxa"/>
            <w:tcBorders>
              <w:top w:val="nil"/>
              <w:left w:val="single" w:color="auto" w:sz="8" w:space="0"/>
              <w:bottom w:val="single" w:color="auto" w:sz="8" w:space="0"/>
              <w:right w:val="single" w:color="auto" w:sz="8" w:space="0"/>
            </w:tcBorders>
            <w:shd w:val="clear" w:color="auto" w:fill="auto"/>
            <w:noWrap w:val="0"/>
            <w:vAlign w:val="bottom"/>
          </w:tcPr>
          <w:p>
            <w:pPr>
              <w:jc w:val="center"/>
              <w:rPr>
                <w:rFonts w:eastAsia="仿宋_GB2312"/>
                <w:color w:val="000000"/>
                <w:sz w:val="32"/>
                <w:szCs w:val="32"/>
              </w:rPr>
            </w:pPr>
            <w:r>
              <w:rPr>
                <w:rFonts w:eastAsia="仿宋_GB2312"/>
                <w:color w:val="000000"/>
                <w:sz w:val="32"/>
                <w:szCs w:val="32"/>
              </w:rPr>
              <w:t>河西区</w:t>
            </w:r>
          </w:p>
        </w:tc>
        <w:tc>
          <w:tcPr>
            <w:tcW w:w="2939" w:type="dxa"/>
            <w:tcBorders>
              <w:top w:val="nil"/>
              <w:left w:val="nil"/>
              <w:bottom w:val="single" w:color="auto" w:sz="8" w:space="0"/>
              <w:right w:val="nil"/>
            </w:tcBorders>
            <w:shd w:val="clear" w:color="auto" w:fill="auto"/>
            <w:noWrap w:val="0"/>
            <w:vAlign w:val="bottom"/>
          </w:tcPr>
          <w:p>
            <w:pPr>
              <w:jc w:val="center"/>
              <w:rPr>
                <w:color w:val="000000"/>
                <w:sz w:val="32"/>
                <w:szCs w:val="32"/>
              </w:rPr>
            </w:pPr>
            <w:r>
              <w:rPr>
                <w:color w:val="000000"/>
                <w:sz w:val="32"/>
                <w:szCs w:val="32"/>
              </w:rPr>
              <w:t xml:space="preserve">77309 </w:t>
            </w:r>
          </w:p>
        </w:tc>
        <w:tc>
          <w:tcPr>
            <w:tcW w:w="3307" w:type="dxa"/>
            <w:tcBorders>
              <w:top w:val="nil"/>
              <w:left w:val="nil"/>
              <w:bottom w:val="single" w:color="auto" w:sz="8" w:space="0"/>
              <w:right w:val="single" w:color="auto" w:sz="8" w:space="0"/>
            </w:tcBorders>
            <w:shd w:val="clear" w:color="auto" w:fill="auto"/>
            <w:noWrap w:val="0"/>
            <w:vAlign w:val="bottom"/>
          </w:tcPr>
          <w:p>
            <w:pPr>
              <w:jc w:val="center"/>
              <w:rPr>
                <w:color w:val="000000"/>
                <w:sz w:val="32"/>
                <w:szCs w:val="32"/>
              </w:rPr>
            </w:pPr>
            <w:r>
              <w:rPr>
                <w:color w:val="000000"/>
                <w:sz w:val="32"/>
                <w:szCs w:val="32"/>
              </w:rPr>
              <w:t xml:space="preserve">11596 </w:t>
            </w:r>
          </w:p>
        </w:tc>
      </w:tr>
      <w:tr>
        <w:trPr>
          <w:trHeight w:val="340" w:hRule="atLeast"/>
        </w:trPr>
        <w:tc>
          <w:tcPr>
            <w:tcW w:w="2721" w:type="dxa"/>
            <w:tcBorders>
              <w:top w:val="nil"/>
              <w:left w:val="single" w:color="auto" w:sz="8" w:space="0"/>
              <w:bottom w:val="single" w:color="auto" w:sz="8" w:space="0"/>
              <w:right w:val="single" w:color="auto" w:sz="8" w:space="0"/>
            </w:tcBorders>
            <w:shd w:val="clear" w:color="auto" w:fill="auto"/>
            <w:noWrap w:val="0"/>
            <w:vAlign w:val="bottom"/>
          </w:tcPr>
          <w:p>
            <w:pPr>
              <w:jc w:val="center"/>
              <w:rPr>
                <w:rFonts w:eastAsia="仿宋_GB2312"/>
                <w:color w:val="000000"/>
                <w:sz w:val="32"/>
                <w:szCs w:val="32"/>
              </w:rPr>
            </w:pPr>
            <w:r>
              <w:rPr>
                <w:rFonts w:eastAsia="仿宋_GB2312"/>
                <w:color w:val="000000"/>
                <w:sz w:val="32"/>
                <w:szCs w:val="32"/>
              </w:rPr>
              <w:t>南开区</w:t>
            </w:r>
          </w:p>
        </w:tc>
        <w:tc>
          <w:tcPr>
            <w:tcW w:w="2939" w:type="dxa"/>
            <w:tcBorders>
              <w:top w:val="nil"/>
              <w:left w:val="nil"/>
              <w:bottom w:val="single" w:color="auto" w:sz="8" w:space="0"/>
              <w:right w:val="nil"/>
            </w:tcBorders>
            <w:shd w:val="clear" w:color="auto" w:fill="auto"/>
            <w:noWrap w:val="0"/>
            <w:vAlign w:val="bottom"/>
          </w:tcPr>
          <w:p>
            <w:pPr>
              <w:jc w:val="center"/>
              <w:rPr>
                <w:color w:val="000000"/>
                <w:sz w:val="32"/>
                <w:szCs w:val="32"/>
              </w:rPr>
            </w:pPr>
            <w:r>
              <w:rPr>
                <w:color w:val="000000"/>
                <w:sz w:val="32"/>
                <w:szCs w:val="32"/>
              </w:rPr>
              <w:t xml:space="preserve">89392 </w:t>
            </w:r>
          </w:p>
        </w:tc>
        <w:tc>
          <w:tcPr>
            <w:tcW w:w="3307" w:type="dxa"/>
            <w:tcBorders>
              <w:top w:val="nil"/>
              <w:left w:val="nil"/>
              <w:bottom w:val="single" w:color="auto" w:sz="8" w:space="0"/>
              <w:right w:val="single" w:color="auto" w:sz="8" w:space="0"/>
            </w:tcBorders>
            <w:shd w:val="clear" w:color="auto" w:fill="auto"/>
            <w:noWrap w:val="0"/>
            <w:vAlign w:val="bottom"/>
          </w:tcPr>
          <w:p>
            <w:pPr>
              <w:jc w:val="center"/>
              <w:rPr>
                <w:color w:val="000000"/>
                <w:sz w:val="32"/>
                <w:szCs w:val="32"/>
              </w:rPr>
            </w:pPr>
            <w:r>
              <w:rPr>
                <w:color w:val="000000"/>
                <w:sz w:val="32"/>
                <w:szCs w:val="32"/>
              </w:rPr>
              <w:t xml:space="preserve">13409 </w:t>
            </w:r>
          </w:p>
        </w:tc>
      </w:tr>
      <w:tr>
        <w:trPr>
          <w:trHeight w:val="340" w:hRule="atLeast"/>
        </w:trPr>
        <w:tc>
          <w:tcPr>
            <w:tcW w:w="2721" w:type="dxa"/>
            <w:tcBorders>
              <w:top w:val="nil"/>
              <w:left w:val="single" w:color="auto" w:sz="8" w:space="0"/>
              <w:bottom w:val="single" w:color="auto" w:sz="8" w:space="0"/>
              <w:right w:val="single" w:color="auto" w:sz="8" w:space="0"/>
            </w:tcBorders>
            <w:shd w:val="clear" w:color="auto" w:fill="auto"/>
            <w:noWrap w:val="0"/>
            <w:vAlign w:val="bottom"/>
          </w:tcPr>
          <w:p>
            <w:pPr>
              <w:jc w:val="center"/>
              <w:rPr>
                <w:rFonts w:eastAsia="仿宋_GB2312"/>
                <w:color w:val="000000"/>
                <w:sz w:val="32"/>
                <w:szCs w:val="32"/>
              </w:rPr>
            </w:pPr>
            <w:r>
              <w:rPr>
                <w:rFonts w:eastAsia="仿宋_GB2312"/>
                <w:color w:val="000000"/>
                <w:sz w:val="32"/>
                <w:szCs w:val="32"/>
              </w:rPr>
              <w:t>河北区</w:t>
            </w:r>
          </w:p>
        </w:tc>
        <w:tc>
          <w:tcPr>
            <w:tcW w:w="2939" w:type="dxa"/>
            <w:tcBorders>
              <w:top w:val="nil"/>
              <w:left w:val="nil"/>
              <w:bottom w:val="single" w:color="auto" w:sz="8" w:space="0"/>
              <w:right w:val="nil"/>
            </w:tcBorders>
            <w:shd w:val="clear" w:color="auto" w:fill="auto"/>
            <w:noWrap w:val="0"/>
            <w:vAlign w:val="bottom"/>
          </w:tcPr>
          <w:p>
            <w:pPr>
              <w:jc w:val="center"/>
              <w:rPr>
                <w:color w:val="000000"/>
                <w:sz w:val="32"/>
                <w:szCs w:val="32"/>
              </w:rPr>
            </w:pPr>
            <w:r>
              <w:rPr>
                <w:color w:val="000000"/>
                <w:sz w:val="32"/>
                <w:szCs w:val="32"/>
              </w:rPr>
              <w:t xml:space="preserve">69364 </w:t>
            </w:r>
          </w:p>
        </w:tc>
        <w:tc>
          <w:tcPr>
            <w:tcW w:w="3307" w:type="dxa"/>
            <w:tcBorders>
              <w:top w:val="nil"/>
              <w:left w:val="nil"/>
              <w:bottom w:val="single" w:color="auto" w:sz="8" w:space="0"/>
              <w:right w:val="single" w:color="auto" w:sz="8" w:space="0"/>
            </w:tcBorders>
            <w:shd w:val="clear" w:color="auto" w:fill="auto"/>
            <w:noWrap w:val="0"/>
            <w:vAlign w:val="bottom"/>
          </w:tcPr>
          <w:p>
            <w:pPr>
              <w:jc w:val="center"/>
              <w:rPr>
                <w:color w:val="000000"/>
                <w:sz w:val="32"/>
                <w:szCs w:val="32"/>
              </w:rPr>
            </w:pPr>
            <w:r>
              <w:rPr>
                <w:color w:val="000000"/>
                <w:sz w:val="32"/>
                <w:szCs w:val="32"/>
              </w:rPr>
              <w:t xml:space="preserve">10405 </w:t>
            </w:r>
          </w:p>
        </w:tc>
      </w:tr>
      <w:tr>
        <w:trPr>
          <w:trHeight w:val="340" w:hRule="atLeast"/>
        </w:trPr>
        <w:tc>
          <w:tcPr>
            <w:tcW w:w="2721" w:type="dxa"/>
            <w:tcBorders>
              <w:top w:val="nil"/>
              <w:left w:val="single" w:color="auto" w:sz="8" w:space="0"/>
              <w:bottom w:val="single" w:color="auto" w:sz="8" w:space="0"/>
              <w:right w:val="single" w:color="auto" w:sz="8" w:space="0"/>
            </w:tcBorders>
            <w:shd w:val="clear" w:color="auto" w:fill="auto"/>
            <w:noWrap w:val="0"/>
            <w:vAlign w:val="bottom"/>
          </w:tcPr>
          <w:p>
            <w:pPr>
              <w:jc w:val="center"/>
              <w:rPr>
                <w:rFonts w:eastAsia="仿宋_GB2312"/>
                <w:color w:val="000000"/>
                <w:sz w:val="32"/>
                <w:szCs w:val="32"/>
              </w:rPr>
            </w:pPr>
            <w:r>
              <w:rPr>
                <w:rFonts w:eastAsia="仿宋_GB2312"/>
                <w:color w:val="000000"/>
                <w:sz w:val="32"/>
                <w:szCs w:val="32"/>
              </w:rPr>
              <w:t>红桥区</w:t>
            </w:r>
          </w:p>
        </w:tc>
        <w:tc>
          <w:tcPr>
            <w:tcW w:w="2939" w:type="dxa"/>
            <w:tcBorders>
              <w:top w:val="nil"/>
              <w:left w:val="nil"/>
              <w:bottom w:val="single" w:color="auto" w:sz="8" w:space="0"/>
              <w:right w:val="nil"/>
            </w:tcBorders>
            <w:shd w:val="clear" w:color="auto" w:fill="auto"/>
            <w:noWrap w:val="0"/>
            <w:vAlign w:val="bottom"/>
          </w:tcPr>
          <w:p>
            <w:pPr>
              <w:jc w:val="center"/>
              <w:rPr>
                <w:rFonts w:hint="default" w:eastAsia="宋体"/>
                <w:color w:val="000000"/>
                <w:sz w:val="32"/>
                <w:szCs w:val="32"/>
                <w:lang w:val="en-US" w:eastAsia="zh-CN"/>
              </w:rPr>
            </w:pPr>
            <w:r>
              <w:rPr>
                <w:rFonts w:hint="eastAsia"/>
                <w:color w:val="000000"/>
                <w:sz w:val="32"/>
                <w:szCs w:val="32"/>
                <w:lang w:val="en-US" w:eastAsia="zh-CN"/>
              </w:rPr>
              <w:t>40466</w:t>
            </w:r>
          </w:p>
        </w:tc>
        <w:tc>
          <w:tcPr>
            <w:tcW w:w="3307" w:type="dxa"/>
            <w:tcBorders>
              <w:top w:val="nil"/>
              <w:left w:val="nil"/>
              <w:bottom w:val="single" w:color="auto" w:sz="8" w:space="0"/>
              <w:right w:val="single" w:color="auto" w:sz="8" w:space="0"/>
            </w:tcBorders>
            <w:shd w:val="clear" w:color="auto" w:fill="auto"/>
            <w:noWrap w:val="0"/>
            <w:vAlign w:val="bottom"/>
          </w:tcPr>
          <w:p>
            <w:pPr>
              <w:jc w:val="center"/>
              <w:rPr>
                <w:rFonts w:hint="default" w:eastAsia="宋体"/>
                <w:color w:val="000000"/>
                <w:sz w:val="32"/>
                <w:szCs w:val="32"/>
                <w:lang w:val="en-US" w:eastAsia="zh-CN"/>
              </w:rPr>
            </w:pPr>
            <w:r>
              <w:rPr>
                <w:rFonts w:hint="eastAsia"/>
                <w:color w:val="000000"/>
                <w:sz w:val="32"/>
                <w:szCs w:val="32"/>
                <w:lang w:val="en-US" w:eastAsia="zh-CN"/>
              </w:rPr>
              <w:t>6065</w:t>
            </w:r>
          </w:p>
        </w:tc>
      </w:tr>
      <w:tr>
        <w:trPr>
          <w:trHeight w:val="340" w:hRule="atLeast"/>
        </w:trPr>
        <w:tc>
          <w:tcPr>
            <w:tcW w:w="2721" w:type="dxa"/>
            <w:tcBorders>
              <w:top w:val="nil"/>
              <w:left w:val="single" w:color="auto" w:sz="8" w:space="0"/>
              <w:bottom w:val="single" w:color="auto" w:sz="8" w:space="0"/>
              <w:right w:val="single" w:color="auto" w:sz="8" w:space="0"/>
            </w:tcBorders>
            <w:shd w:val="clear" w:color="auto" w:fill="auto"/>
            <w:noWrap w:val="0"/>
            <w:vAlign w:val="bottom"/>
          </w:tcPr>
          <w:p>
            <w:pPr>
              <w:jc w:val="center"/>
              <w:rPr>
                <w:rFonts w:eastAsia="仿宋_GB2312"/>
                <w:color w:val="000000"/>
                <w:sz w:val="32"/>
                <w:szCs w:val="32"/>
              </w:rPr>
            </w:pPr>
            <w:r>
              <w:rPr>
                <w:rFonts w:eastAsia="仿宋_GB2312"/>
                <w:color w:val="000000"/>
                <w:sz w:val="32"/>
                <w:szCs w:val="32"/>
              </w:rPr>
              <w:t>东丽区</w:t>
            </w:r>
          </w:p>
        </w:tc>
        <w:tc>
          <w:tcPr>
            <w:tcW w:w="2939" w:type="dxa"/>
            <w:tcBorders>
              <w:top w:val="nil"/>
              <w:left w:val="nil"/>
              <w:bottom w:val="single" w:color="auto" w:sz="8" w:space="0"/>
              <w:right w:val="nil"/>
            </w:tcBorders>
            <w:shd w:val="clear" w:color="auto" w:fill="auto"/>
            <w:noWrap w:val="0"/>
            <w:vAlign w:val="bottom"/>
          </w:tcPr>
          <w:p>
            <w:pPr>
              <w:jc w:val="center"/>
              <w:rPr>
                <w:color w:val="000000"/>
                <w:sz w:val="32"/>
                <w:szCs w:val="32"/>
              </w:rPr>
            </w:pPr>
            <w:r>
              <w:rPr>
                <w:color w:val="000000"/>
                <w:sz w:val="32"/>
                <w:szCs w:val="32"/>
              </w:rPr>
              <w:t xml:space="preserve">34894 </w:t>
            </w:r>
          </w:p>
        </w:tc>
        <w:tc>
          <w:tcPr>
            <w:tcW w:w="3307" w:type="dxa"/>
            <w:tcBorders>
              <w:top w:val="nil"/>
              <w:left w:val="nil"/>
              <w:bottom w:val="single" w:color="auto" w:sz="8" w:space="0"/>
              <w:right w:val="single" w:color="auto" w:sz="8" w:space="0"/>
            </w:tcBorders>
            <w:shd w:val="clear" w:color="auto" w:fill="auto"/>
            <w:noWrap w:val="0"/>
            <w:vAlign w:val="bottom"/>
          </w:tcPr>
          <w:p>
            <w:pPr>
              <w:jc w:val="center"/>
              <w:rPr>
                <w:color w:val="000000"/>
                <w:sz w:val="32"/>
                <w:szCs w:val="32"/>
              </w:rPr>
            </w:pPr>
            <w:r>
              <w:rPr>
                <w:color w:val="000000"/>
                <w:sz w:val="32"/>
                <w:szCs w:val="32"/>
              </w:rPr>
              <w:t xml:space="preserve">5234 </w:t>
            </w:r>
          </w:p>
        </w:tc>
      </w:tr>
      <w:tr>
        <w:trPr>
          <w:trHeight w:val="340" w:hRule="atLeast"/>
        </w:trPr>
        <w:tc>
          <w:tcPr>
            <w:tcW w:w="2721" w:type="dxa"/>
            <w:tcBorders>
              <w:top w:val="nil"/>
              <w:left w:val="single" w:color="auto" w:sz="8" w:space="0"/>
              <w:bottom w:val="single" w:color="auto" w:sz="8" w:space="0"/>
              <w:right w:val="single" w:color="auto" w:sz="8" w:space="0"/>
            </w:tcBorders>
            <w:shd w:val="clear" w:color="auto" w:fill="auto"/>
            <w:noWrap w:val="0"/>
            <w:vAlign w:val="bottom"/>
          </w:tcPr>
          <w:p>
            <w:pPr>
              <w:jc w:val="center"/>
              <w:rPr>
                <w:rFonts w:eastAsia="仿宋_GB2312"/>
                <w:color w:val="000000"/>
                <w:sz w:val="32"/>
                <w:szCs w:val="32"/>
              </w:rPr>
            </w:pPr>
            <w:r>
              <w:rPr>
                <w:rFonts w:eastAsia="仿宋_GB2312"/>
                <w:color w:val="000000"/>
                <w:sz w:val="32"/>
                <w:szCs w:val="32"/>
              </w:rPr>
              <w:t>西青区</w:t>
            </w:r>
          </w:p>
        </w:tc>
        <w:tc>
          <w:tcPr>
            <w:tcW w:w="2939" w:type="dxa"/>
            <w:tcBorders>
              <w:top w:val="nil"/>
              <w:left w:val="nil"/>
              <w:bottom w:val="single" w:color="auto" w:sz="8" w:space="0"/>
              <w:right w:val="nil"/>
            </w:tcBorders>
            <w:shd w:val="clear" w:color="auto" w:fill="auto"/>
            <w:noWrap w:val="0"/>
            <w:vAlign w:val="bottom"/>
          </w:tcPr>
          <w:p>
            <w:pPr>
              <w:jc w:val="center"/>
              <w:rPr>
                <w:color w:val="000000"/>
                <w:sz w:val="32"/>
                <w:szCs w:val="32"/>
              </w:rPr>
            </w:pPr>
            <w:r>
              <w:rPr>
                <w:color w:val="000000"/>
                <w:sz w:val="32"/>
                <w:szCs w:val="32"/>
              </w:rPr>
              <w:t xml:space="preserve">37260 </w:t>
            </w:r>
          </w:p>
        </w:tc>
        <w:tc>
          <w:tcPr>
            <w:tcW w:w="3307" w:type="dxa"/>
            <w:tcBorders>
              <w:top w:val="nil"/>
              <w:left w:val="nil"/>
              <w:bottom w:val="single" w:color="auto" w:sz="8" w:space="0"/>
              <w:right w:val="single" w:color="auto" w:sz="8" w:space="0"/>
            </w:tcBorders>
            <w:shd w:val="clear" w:color="auto" w:fill="auto"/>
            <w:noWrap w:val="0"/>
            <w:vAlign w:val="bottom"/>
          </w:tcPr>
          <w:p>
            <w:pPr>
              <w:jc w:val="center"/>
              <w:rPr>
                <w:color w:val="000000"/>
                <w:sz w:val="32"/>
                <w:szCs w:val="32"/>
              </w:rPr>
            </w:pPr>
            <w:r>
              <w:rPr>
                <w:color w:val="000000"/>
                <w:sz w:val="32"/>
                <w:szCs w:val="32"/>
              </w:rPr>
              <w:t xml:space="preserve">5589 </w:t>
            </w:r>
          </w:p>
        </w:tc>
      </w:tr>
      <w:tr>
        <w:trPr>
          <w:trHeight w:val="340" w:hRule="atLeast"/>
        </w:trPr>
        <w:tc>
          <w:tcPr>
            <w:tcW w:w="2721" w:type="dxa"/>
            <w:tcBorders>
              <w:top w:val="nil"/>
              <w:left w:val="single" w:color="auto" w:sz="8" w:space="0"/>
              <w:bottom w:val="single" w:color="auto" w:sz="8" w:space="0"/>
              <w:right w:val="single" w:color="auto" w:sz="8" w:space="0"/>
            </w:tcBorders>
            <w:shd w:val="clear" w:color="auto" w:fill="auto"/>
            <w:noWrap w:val="0"/>
            <w:vAlign w:val="bottom"/>
          </w:tcPr>
          <w:p>
            <w:pPr>
              <w:jc w:val="center"/>
              <w:rPr>
                <w:rFonts w:eastAsia="仿宋_GB2312"/>
                <w:color w:val="000000"/>
                <w:sz w:val="32"/>
                <w:szCs w:val="32"/>
              </w:rPr>
            </w:pPr>
            <w:r>
              <w:rPr>
                <w:rFonts w:eastAsia="仿宋_GB2312"/>
                <w:color w:val="000000"/>
                <w:sz w:val="32"/>
                <w:szCs w:val="32"/>
              </w:rPr>
              <w:t>津南区</w:t>
            </w:r>
          </w:p>
        </w:tc>
        <w:tc>
          <w:tcPr>
            <w:tcW w:w="2939" w:type="dxa"/>
            <w:tcBorders>
              <w:top w:val="nil"/>
              <w:left w:val="nil"/>
              <w:bottom w:val="single" w:color="auto" w:sz="8" w:space="0"/>
              <w:right w:val="nil"/>
            </w:tcBorders>
            <w:shd w:val="clear" w:color="auto" w:fill="auto"/>
            <w:noWrap w:val="0"/>
            <w:vAlign w:val="bottom"/>
          </w:tcPr>
          <w:p>
            <w:pPr>
              <w:jc w:val="center"/>
              <w:rPr>
                <w:color w:val="000000"/>
                <w:sz w:val="32"/>
                <w:szCs w:val="32"/>
              </w:rPr>
            </w:pPr>
            <w:r>
              <w:rPr>
                <w:color w:val="000000"/>
                <w:sz w:val="32"/>
                <w:szCs w:val="32"/>
              </w:rPr>
              <w:t xml:space="preserve">40259 </w:t>
            </w:r>
          </w:p>
        </w:tc>
        <w:tc>
          <w:tcPr>
            <w:tcW w:w="3307" w:type="dxa"/>
            <w:tcBorders>
              <w:top w:val="nil"/>
              <w:left w:val="nil"/>
              <w:bottom w:val="single" w:color="auto" w:sz="8" w:space="0"/>
              <w:right w:val="single" w:color="auto" w:sz="8" w:space="0"/>
            </w:tcBorders>
            <w:shd w:val="clear" w:color="auto" w:fill="auto"/>
            <w:noWrap w:val="0"/>
            <w:vAlign w:val="bottom"/>
          </w:tcPr>
          <w:p>
            <w:pPr>
              <w:jc w:val="center"/>
              <w:rPr>
                <w:color w:val="000000"/>
                <w:sz w:val="32"/>
                <w:szCs w:val="32"/>
              </w:rPr>
            </w:pPr>
            <w:r>
              <w:rPr>
                <w:color w:val="000000"/>
                <w:sz w:val="32"/>
                <w:szCs w:val="32"/>
              </w:rPr>
              <w:t xml:space="preserve">6039 </w:t>
            </w:r>
          </w:p>
        </w:tc>
      </w:tr>
      <w:tr>
        <w:trPr>
          <w:trHeight w:val="340" w:hRule="atLeast"/>
        </w:trPr>
        <w:tc>
          <w:tcPr>
            <w:tcW w:w="2721" w:type="dxa"/>
            <w:tcBorders>
              <w:top w:val="nil"/>
              <w:left w:val="single" w:color="auto" w:sz="8" w:space="0"/>
              <w:bottom w:val="single" w:color="auto" w:sz="8" w:space="0"/>
              <w:right w:val="single" w:color="auto" w:sz="8" w:space="0"/>
            </w:tcBorders>
            <w:shd w:val="clear" w:color="auto" w:fill="auto"/>
            <w:noWrap w:val="0"/>
            <w:vAlign w:val="bottom"/>
          </w:tcPr>
          <w:p>
            <w:pPr>
              <w:jc w:val="center"/>
              <w:rPr>
                <w:rFonts w:eastAsia="仿宋_GB2312"/>
                <w:color w:val="000000"/>
                <w:sz w:val="32"/>
                <w:szCs w:val="32"/>
              </w:rPr>
            </w:pPr>
            <w:r>
              <w:rPr>
                <w:rFonts w:eastAsia="仿宋_GB2312"/>
                <w:color w:val="000000"/>
                <w:sz w:val="32"/>
                <w:szCs w:val="32"/>
              </w:rPr>
              <w:t>北辰区</w:t>
            </w:r>
          </w:p>
        </w:tc>
        <w:tc>
          <w:tcPr>
            <w:tcW w:w="2939" w:type="dxa"/>
            <w:tcBorders>
              <w:top w:val="nil"/>
              <w:left w:val="nil"/>
              <w:bottom w:val="single" w:color="auto" w:sz="8" w:space="0"/>
              <w:right w:val="nil"/>
            </w:tcBorders>
            <w:shd w:val="clear" w:color="auto" w:fill="auto"/>
            <w:noWrap w:val="0"/>
            <w:vAlign w:val="bottom"/>
          </w:tcPr>
          <w:p>
            <w:pPr>
              <w:jc w:val="center"/>
              <w:rPr>
                <w:rFonts w:hint="default" w:eastAsia="宋体"/>
                <w:color w:val="000000"/>
                <w:sz w:val="32"/>
                <w:szCs w:val="32"/>
                <w:lang w:val="en-US" w:eastAsia="zh-CN"/>
              </w:rPr>
            </w:pPr>
            <w:r>
              <w:rPr>
                <w:color w:val="000000"/>
                <w:sz w:val="32"/>
                <w:szCs w:val="32"/>
              </w:rPr>
              <w:t>4</w:t>
            </w:r>
            <w:r>
              <w:rPr>
                <w:rFonts w:hint="eastAsia"/>
                <w:color w:val="000000"/>
                <w:sz w:val="32"/>
                <w:szCs w:val="32"/>
                <w:lang w:val="en-US" w:eastAsia="zh-CN"/>
              </w:rPr>
              <w:t>3895</w:t>
            </w:r>
          </w:p>
        </w:tc>
        <w:tc>
          <w:tcPr>
            <w:tcW w:w="3307" w:type="dxa"/>
            <w:tcBorders>
              <w:top w:val="nil"/>
              <w:left w:val="nil"/>
              <w:bottom w:val="single" w:color="auto" w:sz="8" w:space="0"/>
              <w:right w:val="single" w:color="auto" w:sz="8" w:space="0"/>
            </w:tcBorders>
            <w:shd w:val="clear" w:color="auto" w:fill="auto"/>
            <w:noWrap w:val="0"/>
            <w:vAlign w:val="bottom"/>
          </w:tcPr>
          <w:p>
            <w:pPr>
              <w:jc w:val="center"/>
              <w:rPr>
                <w:rFonts w:hint="default" w:eastAsia="宋体"/>
                <w:color w:val="000000"/>
                <w:sz w:val="32"/>
                <w:szCs w:val="32"/>
                <w:lang w:val="en-US" w:eastAsia="zh-CN"/>
              </w:rPr>
            </w:pPr>
            <w:r>
              <w:rPr>
                <w:color w:val="000000"/>
                <w:sz w:val="32"/>
                <w:szCs w:val="32"/>
              </w:rPr>
              <w:t>6</w:t>
            </w:r>
            <w:r>
              <w:rPr>
                <w:rFonts w:hint="eastAsia"/>
                <w:color w:val="000000"/>
                <w:sz w:val="32"/>
                <w:szCs w:val="32"/>
                <w:lang w:val="en-US" w:eastAsia="zh-CN"/>
              </w:rPr>
              <w:t>589</w:t>
            </w:r>
          </w:p>
        </w:tc>
      </w:tr>
      <w:tr>
        <w:trPr>
          <w:trHeight w:val="340" w:hRule="atLeast"/>
        </w:trPr>
        <w:tc>
          <w:tcPr>
            <w:tcW w:w="2721" w:type="dxa"/>
            <w:tcBorders>
              <w:top w:val="nil"/>
              <w:left w:val="single" w:color="auto" w:sz="8" w:space="0"/>
              <w:bottom w:val="single" w:color="auto" w:sz="8" w:space="0"/>
              <w:right w:val="single" w:color="auto" w:sz="8" w:space="0"/>
            </w:tcBorders>
            <w:shd w:val="clear" w:color="auto" w:fill="auto"/>
            <w:noWrap w:val="0"/>
            <w:vAlign w:val="bottom"/>
          </w:tcPr>
          <w:p>
            <w:pPr>
              <w:jc w:val="center"/>
              <w:rPr>
                <w:rFonts w:eastAsia="仿宋_GB2312"/>
                <w:color w:val="000000"/>
                <w:sz w:val="32"/>
                <w:szCs w:val="32"/>
              </w:rPr>
            </w:pPr>
            <w:r>
              <w:rPr>
                <w:rFonts w:eastAsia="仿宋_GB2312"/>
                <w:color w:val="000000"/>
                <w:sz w:val="32"/>
                <w:szCs w:val="32"/>
              </w:rPr>
              <w:t>武清区</w:t>
            </w:r>
          </w:p>
        </w:tc>
        <w:tc>
          <w:tcPr>
            <w:tcW w:w="2939" w:type="dxa"/>
            <w:tcBorders>
              <w:top w:val="nil"/>
              <w:left w:val="nil"/>
              <w:bottom w:val="single" w:color="auto" w:sz="8" w:space="0"/>
              <w:right w:val="nil"/>
            </w:tcBorders>
            <w:shd w:val="clear" w:color="auto" w:fill="auto"/>
            <w:noWrap w:val="0"/>
            <w:vAlign w:val="bottom"/>
          </w:tcPr>
          <w:p>
            <w:pPr>
              <w:jc w:val="center"/>
              <w:rPr>
                <w:color w:val="000000"/>
                <w:sz w:val="32"/>
                <w:szCs w:val="32"/>
              </w:rPr>
            </w:pPr>
            <w:r>
              <w:rPr>
                <w:color w:val="000000"/>
                <w:sz w:val="32"/>
                <w:szCs w:val="32"/>
              </w:rPr>
              <w:t xml:space="preserve">92819 </w:t>
            </w:r>
          </w:p>
        </w:tc>
        <w:tc>
          <w:tcPr>
            <w:tcW w:w="3307" w:type="dxa"/>
            <w:tcBorders>
              <w:top w:val="nil"/>
              <w:left w:val="nil"/>
              <w:bottom w:val="single" w:color="auto" w:sz="8" w:space="0"/>
              <w:right w:val="single" w:color="auto" w:sz="8" w:space="0"/>
            </w:tcBorders>
            <w:shd w:val="clear" w:color="auto" w:fill="auto"/>
            <w:noWrap w:val="0"/>
            <w:vAlign w:val="bottom"/>
          </w:tcPr>
          <w:p>
            <w:pPr>
              <w:jc w:val="center"/>
              <w:rPr>
                <w:color w:val="000000"/>
                <w:sz w:val="32"/>
                <w:szCs w:val="32"/>
              </w:rPr>
            </w:pPr>
            <w:r>
              <w:rPr>
                <w:color w:val="000000"/>
                <w:sz w:val="32"/>
                <w:szCs w:val="32"/>
              </w:rPr>
              <w:t xml:space="preserve">13923 </w:t>
            </w:r>
          </w:p>
        </w:tc>
      </w:tr>
      <w:tr>
        <w:trPr>
          <w:trHeight w:val="340" w:hRule="atLeast"/>
        </w:trPr>
        <w:tc>
          <w:tcPr>
            <w:tcW w:w="2721" w:type="dxa"/>
            <w:tcBorders>
              <w:top w:val="nil"/>
              <w:left w:val="single" w:color="auto" w:sz="8" w:space="0"/>
              <w:bottom w:val="single" w:color="auto" w:sz="8" w:space="0"/>
              <w:right w:val="single" w:color="auto" w:sz="8" w:space="0"/>
            </w:tcBorders>
            <w:shd w:val="clear" w:color="auto" w:fill="auto"/>
            <w:noWrap w:val="0"/>
            <w:vAlign w:val="bottom"/>
          </w:tcPr>
          <w:p>
            <w:pPr>
              <w:jc w:val="center"/>
              <w:rPr>
                <w:rFonts w:eastAsia="仿宋_GB2312"/>
                <w:color w:val="000000"/>
                <w:sz w:val="32"/>
                <w:szCs w:val="32"/>
              </w:rPr>
            </w:pPr>
            <w:r>
              <w:rPr>
                <w:rFonts w:eastAsia="仿宋_GB2312"/>
                <w:color w:val="000000"/>
                <w:sz w:val="32"/>
                <w:szCs w:val="32"/>
              </w:rPr>
              <w:t>宝坻区</w:t>
            </w:r>
          </w:p>
        </w:tc>
        <w:tc>
          <w:tcPr>
            <w:tcW w:w="2939" w:type="dxa"/>
            <w:tcBorders>
              <w:top w:val="nil"/>
              <w:left w:val="nil"/>
              <w:bottom w:val="single" w:color="auto" w:sz="8" w:space="0"/>
              <w:right w:val="nil"/>
            </w:tcBorders>
            <w:shd w:val="clear" w:color="auto" w:fill="auto"/>
            <w:noWrap w:val="0"/>
            <w:vAlign w:val="bottom"/>
          </w:tcPr>
          <w:p>
            <w:pPr>
              <w:jc w:val="center"/>
              <w:rPr>
                <w:color w:val="000000"/>
                <w:sz w:val="32"/>
                <w:szCs w:val="32"/>
              </w:rPr>
            </w:pPr>
            <w:r>
              <w:rPr>
                <w:color w:val="000000"/>
                <w:sz w:val="32"/>
                <w:szCs w:val="32"/>
              </w:rPr>
              <w:t xml:space="preserve">71954 </w:t>
            </w:r>
          </w:p>
        </w:tc>
        <w:tc>
          <w:tcPr>
            <w:tcW w:w="3307" w:type="dxa"/>
            <w:tcBorders>
              <w:top w:val="nil"/>
              <w:left w:val="nil"/>
              <w:bottom w:val="single" w:color="auto" w:sz="8" w:space="0"/>
              <w:right w:val="single" w:color="auto" w:sz="8" w:space="0"/>
            </w:tcBorders>
            <w:shd w:val="clear" w:color="auto" w:fill="auto"/>
            <w:noWrap w:val="0"/>
            <w:vAlign w:val="bottom"/>
          </w:tcPr>
          <w:p>
            <w:pPr>
              <w:jc w:val="center"/>
              <w:rPr>
                <w:color w:val="000000"/>
                <w:sz w:val="32"/>
                <w:szCs w:val="32"/>
              </w:rPr>
            </w:pPr>
            <w:r>
              <w:rPr>
                <w:color w:val="000000"/>
                <w:sz w:val="32"/>
                <w:szCs w:val="32"/>
              </w:rPr>
              <w:t xml:space="preserve">10793 </w:t>
            </w:r>
          </w:p>
        </w:tc>
      </w:tr>
      <w:tr>
        <w:trPr>
          <w:trHeight w:val="340" w:hRule="atLeast"/>
        </w:trPr>
        <w:tc>
          <w:tcPr>
            <w:tcW w:w="2721" w:type="dxa"/>
            <w:tcBorders>
              <w:top w:val="nil"/>
              <w:left w:val="single" w:color="auto" w:sz="8" w:space="0"/>
              <w:bottom w:val="single" w:color="auto" w:sz="8" w:space="0"/>
              <w:right w:val="single" w:color="auto" w:sz="8" w:space="0"/>
            </w:tcBorders>
            <w:shd w:val="clear" w:color="auto" w:fill="auto"/>
            <w:noWrap w:val="0"/>
            <w:vAlign w:val="bottom"/>
          </w:tcPr>
          <w:p>
            <w:pPr>
              <w:jc w:val="center"/>
              <w:rPr>
                <w:rFonts w:eastAsia="仿宋_GB2312"/>
                <w:color w:val="000000"/>
                <w:sz w:val="32"/>
                <w:szCs w:val="32"/>
              </w:rPr>
            </w:pPr>
            <w:r>
              <w:rPr>
                <w:rFonts w:eastAsia="仿宋_GB2312"/>
                <w:color w:val="000000"/>
                <w:sz w:val="32"/>
                <w:szCs w:val="32"/>
              </w:rPr>
              <w:t>滨海新区</w:t>
            </w:r>
          </w:p>
        </w:tc>
        <w:tc>
          <w:tcPr>
            <w:tcW w:w="2939" w:type="dxa"/>
            <w:tcBorders>
              <w:top w:val="nil"/>
              <w:left w:val="nil"/>
              <w:bottom w:val="single" w:color="auto" w:sz="8" w:space="0"/>
              <w:right w:val="nil"/>
            </w:tcBorders>
            <w:shd w:val="clear" w:color="auto" w:fill="auto"/>
            <w:noWrap w:val="0"/>
            <w:vAlign w:val="bottom"/>
          </w:tcPr>
          <w:p>
            <w:pPr>
              <w:jc w:val="center"/>
              <w:rPr>
                <w:color w:val="000000"/>
                <w:sz w:val="32"/>
                <w:szCs w:val="32"/>
              </w:rPr>
            </w:pPr>
            <w:r>
              <w:rPr>
                <w:color w:val="000000"/>
                <w:sz w:val="32"/>
                <w:szCs w:val="32"/>
              </w:rPr>
              <w:t xml:space="preserve">130861 </w:t>
            </w:r>
          </w:p>
        </w:tc>
        <w:tc>
          <w:tcPr>
            <w:tcW w:w="3307" w:type="dxa"/>
            <w:tcBorders>
              <w:top w:val="nil"/>
              <w:left w:val="nil"/>
              <w:bottom w:val="single" w:color="auto" w:sz="8" w:space="0"/>
              <w:right w:val="single" w:color="auto" w:sz="8" w:space="0"/>
            </w:tcBorders>
            <w:shd w:val="clear" w:color="auto" w:fill="auto"/>
            <w:noWrap w:val="0"/>
            <w:vAlign w:val="bottom"/>
          </w:tcPr>
          <w:p>
            <w:pPr>
              <w:jc w:val="center"/>
              <w:rPr>
                <w:color w:val="000000"/>
                <w:sz w:val="32"/>
                <w:szCs w:val="32"/>
              </w:rPr>
            </w:pPr>
            <w:r>
              <w:rPr>
                <w:color w:val="000000"/>
                <w:sz w:val="32"/>
                <w:szCs w:val="32"/>
              </w:rPr>
              <w:t xml:space="preserve">19629 </w:t>
            </w:r>
          </w:p>
        </w:tc>
      </w:tr>
      <w:tr>
        <w:trPr>
          <w:trHeight w:val="340" w:hRule="atLeast"/>
        </w:trPr>
        <w:tc>
          <w:tcPr>
            <w:tcW w:w="2721" w:type="dxa"/>
            <w:tcBorders>
              <w:top w:val="nil"/>
              <w:left w:val="single" w:color="auto" w:sz="8" w:space="0"/>
              <w:bottom w:val="single" w:color="auto" w:sz="8" w:space="0"/>
              <w:right w:val="single" w:color="auto" w:sz="8" w:space="0"/>
            </w:tcBorders>
            <w:shd w:val="clear" w:color="auto" w:fill="auto"/>
            <w:noWrap w:val="0"/>
            <w:vAlign w:val="bottom"/>
          </w:tcPr>
          <w:p>
            <w:pPr>
              <w:jc w:val="center"/>
              <w:rPr>
                <w:rFonts w:eastAsia="仿宋_GB2312"/>
                <w:color w:val="000000"/>
                <w:sz w:val="32"/>
                <w:szCs w:val="32"/>
              </w:rPr>
            </w:pPr>
            <w:r>
              <w:rPr>
                <w:rFonts w:eastAsia="仿宋_GB2312"/>
                <w:color w:val="000000"/>
                <w:sz w:val="32"/>
                <w:szCs w:val="32"/>
              </w:rPr>
              <w:t>宁河区</w:t>
            </w:r>
          </w:p>
        </w:tc>
        <w:tc>
          <w:tcPr>
            <w:tcW w:w="2939" w:type="dxa"/>
            <w:tcBorders>
              <w:top w:val="nil"/>
              <w:left w:val="nil"/>
              <w:bottom w:val="single" w:color="auto" w:sz="8" w:space="0"/>
              <w:right w:val="nil"/>
            </w:tcBorders>
            <w:shd w:val="clear" w:color="auto" w:fill="auto"/>
            <w:noWrap w:val="0"/>
            <w:vAlign w:val="bottom"/>
          </w:tcPr>
          <w:p>
            <w:pPr>
              <w:jc w:val="center"/>
              <w:rPr>
                <w:color w:val="000000"/>
                <w:sz w:val="32"/>
                <w:szCs w:val="32"/>
              </w:rPr>
            </w:pPr>
            <w:r>
              <w:rPr>
                <w:color w:val="000000"/>
                <w:sz w:val="32"/>
                <w:szCs w:val="32"/>
              </w:rPr>
              <w:t xml:space="preserve">36682 </w:t>
            </w:r>
          </w:p>
        </w:tc>
        <w:tc>
          <w:tcPr>
            <w:tcW w:w="3307" w:type="dxa"/>
            <w:tcBorders>
              <w:top w:val="nil"/>
              <w:left w:val="nil"/>
              <w:bottom w:val="single" w:color="auto" w:sz="8" w:space="0"/>
              <w:right w:val="single" w:color="auto" w:sz="8" w:space="0"/>
            </w:tcBorders>
            <w:shd w:val="clear" w:color="auto" w:fill="auto"/>
            <w:noWrap w:val="0"/>
            <w:vAlign w:val="bottom"/>
          </w:tcPr>
          <w:p>
            <w:pPr>
              <w:jc w:val="center"/>
              <w:rPr>
                <w:color w:val="000000"/>
                <w:sz w:val="32"/>
                <w:szCs w:val="32"/>
              </w:rPr>
            </w:pPr>
            <w:r>
              <w:rPr>
                <w:color w:val="000000"/>
                <w:sz w:val="32"/>
                <w:szCs w:val="32"/>
              </w:rPr>
              <w:t xml:space="preserve">5502 </w:t>
            </w:r>
          </w:p>
        </w:tc>
      </w:tr>
      <w:tr>
        <w:trPr>
          <w:trHeight w:val="340" w:hRule="atLeast"/>
        </w:trPr>
        <w:tc>
          <w:tcPr>
            <w:tcW w:w="2721" w:type="dxa"/>
            <w:tcBorders>
              <w:top w:val="nil"/>
              <w:left w:val="single" w:color="auto" w:sz="8" w:space="0"/>
              <w:bottom w:val="single" w:color="auto" w:sz="8" w:space="0"/>
              <w:right w:val="single" w:color="auto" w:sz="8" w:space="0"/>
            </w:tcBorders>
            <w:shd w:val="clear" w:color="auto" w:fill="auto"/>
            <w:noWrap w:val="0"/>
            <w:vAlign w:val="bottom"/>
          </w:tcPr>
          <w:p>
            <w:pPr>
              <w:jc w:val="center"/>
              <w:rPr>
                <w:rFonts w:eastAsia="仿宋_GB2312"/>
                <w:color w:val="000000"/>
                <w:sz w:val="32"/>
                <w:szCs w:val="32"/>
              </w:rPr>
            </w:pPr>
            <w:r>
              <w:rPr>
                <w:rFonts w:eastAsia="仿宋_GB2312"/>
                <w:color w:val="000000"/>
                <w:sz w:val="32"/>
                <w:szCs w:val="32"/>
              </w:rPr>
              <w:t>静海区</w:t>
            </w:r>
          </w:p>
        </w:tc>
        <w:tc>
          <w:tcPr>
            <w:tcW w:w="2939" w:type="dxa"/>
            <w:tcBorders>
              <w:top w:val="nil"/>
              <w:left w:val="nil"/>
              <w:bottom w:val="single" w:color="auto" w:sz="8" w:space="0"/>
              <w:right w:val="nil"/>
            </w:tcBorders>
            <w:shd w:val="clear" w:color="auto" w:fill="auto"/>
            <w:noWrap w:val="0"/>
            <w:vAlign w:val="bottom"/>
          </w:tcPr>
          <w:p>
            <w:pPr>
              <w:jc w:val="center"/>
              <w:rPr>
                <w:color w:val="000000"/>
                <w:sz w:val="32"/>
                <w:szCs w:val="32"/>
              </w:rPr>
            </w:pPr>
            <w:r>
              <w:rPr>
                <w:color w:val="000000"/>
                <w:sz w:val="32"/>
                <w:szCs w:val="32"/>
              </w:rPr>
              <w:t xml:space="preserve">60845 </w:t>
            </w:r>
          </w:p>
        </w:tc>
        <w:tc>
          <w:tcPr>
            <w:tcW w:w="3307" w:type="dxa"/>
            <w:tcBorders>
              <w:top w:val="nil"/>
              <w:left w:val="nil"/>
              <w:bottom w:val="single" w:color="auto" w:sz="8" w:space="0"/>
              <w:right w:val="single" w:color="auto" w:sz="8" w:space="0"/>
            </w:tcBorders>
            <w:shd w:val="clear" w:color="auto" w:fill="auto"/>
            <w:noWrap w:val="0"/>
            <w:vAlign w:val="bottom"/>
          </w:tcPr>
          <w:p>
            <w:pPr>
              <w:jc w:val="center"/>
              <w:rPr>
                <w:color w:val="000000"/>
                <w:sz w:val="32"/>
                <w:szCs w:val="32"/>
              </w:rPr>
            </w:pPr>
            <w:r>
              <w:rPr>
                <w:color w:val="000000"/>
                <w:sz w:val="32"/>
                <w:szCs w:val="32"/>
              </w:rPr>
              <w:t xml:space="preserve">9127 </w:t>
            </w:r>
          </w:p>
        </w:tc>
      </w:tr>
      <w:tr>
        <w:trPr>
          <w:trHeight w:val="340" w:hRule="atLeast"/>
        </w:trPr>
        <w:tc>
          <w:tcPr>
            <w:tcW w:w="2721" w:type="dxa"/>
            <w:tcBorders>
              <w:top w:val="nil"/>
              <w:left w:val="single" w:color="auto" w:sz="8" w:space="0"/>
              <w:bottom w:val="single" w:color="auto" w:sz="8" w:space="0"/>
              <w:right w:val="single" w:color="auto" w:sz="8" w:space="0"/>
            </w:tcBorders>
            <w:shd w:val="clear" w:color="auto" w:fill="auto"/>
            <w:noWrap w:val="0"/>
            <w:vAlign w:val="bottom"/>
          </w:tcPr>
          <w:p>
            <w:pPr>
              <w:jc w:val="center"/>
              <w:rPr>
                <w:rFonts w:eastAsia="仿宋_GB2312"/>
                <w:color w:val="000000"/>
                <w:sz w:val="32"/>
                <w:szCs w:val="32"/>
              </w:rPr>
            </w:pPr>
            <w:r>
              <w:rPr>
                <w:rFonts w:eastAsia="仿宋_GB2312"/>
                <w:color w:val="000000"/>
                <w:sz w:val="32"/>
                <w:szCs w:val="32"/>
              </w:rPr>
              <w:t>蓟州区</w:t>
            </w:r>
          </w:p>
        </w:tc>
        <w:tc>
          <w:tcPr>
            <w:tcW w:w="2939" w:type="dxa"/>
            <w:tcBorders>
              <w:top w:val="nil"/>
              <w:left w:val="nil"/>
              <w:bottom w:val="single" w:color="auto" w:sz="8" w:space="0"/>
              <w:right w:val="nil"/>
            </w:tcBorders>
            <w:shd w:val="clear" w:color="auto" w:fill="auto"/>
            <w:noWrap w:val="0"/>
            <w:vAlign w:val="bottom"/>
          </w:tcPr>
          <w:p>
            <w:pPr>
              <w:jc w:val="center"/>
              <w:rPr>
                <w:color w:val="000000"/>
                <w:sz w:val="32"/>
                <w:szCs w:val="32"/>
              </w:rPr>
            </w:pPr>
            <w:r>
              <w:rPr>
                <w:color w:val="000000"/>
                <w:sz w:val="32"/>
                <w:szCs w:val="32"/>
              </w:rPr>
              <w:t xml:space="preserve">70259 </w:t>
            </w:r>
          </w:p>
        </w:tc>
        <w:tc>
          <w:tcPr>
            <w:tcW w:w="3307" w:type="dxa"/>
            <w:tcBorders>
              <w:top w:val="nil"/>
              <w:left w:val="nil"/>
              <w:bottom w:val="single" w:color="auto" w:sz="8" w:space="0"/>
              <w:right w:val="single" w:color="auto" w:sz="8" w:space="0"/>
            </w:tcBorders>
            <w:shd w:val="clear" w:color="auto" w:fill="auto"/>
            <w:noWrap w:val="0"/>
            <w:vAlign w:val="bottom"/>
          </w:tcPr>
          <w:p>
            <w:pPr>
              <w:jc w:val="center"/>
              <w:rPr>
                <w:color w:val="000000"/>
                <w:sz w:val="32"/>
                <w:szCs w:val="32"/>
              </w:rPr>
            </w:pPr>
            <w:r>
              <w:rPr>
                <w:color w:val="000000"/>
                <w:sz w:val="32"/>
                <w:szCs w:val="32"/>
              </w:rPr>
              <w:t xml:space="preserve">10539 </w:t>
            </w:r>
          </w:p>
        </w:tc>
      </w:tr>
      <w:tr>
        <w:trPr>
          <w:trHeight w:val="340" w:hRule="atLeast"/>
        </w:trPr>
        <w:tc>
          <w:tcPr>
            <w:tcW w:w="2721" w:type="dxa"/>
            <w:tcBorders>
              <w:top w:val="nil"/>
              <w:left w:val="single" w:color="auto" w:sz="8" w:space="0"/>
              <w:bottom w:val="single" w:color="auto" w:sz="8" w:space="0"/>
              <w:right w:val="single" w:color="auto" w:sz="8" w:space="0"/>
            </w:tcBorders>
            <w:shd w:val="clear" w:color="auto" w:fill="auto"/>
            <w:noWrap w:val="0"/>
            <w:vAlign w:val="bottom"/>
          </w:tcPr>
          <w:p>
            <w:pPr>
              <w:jc w:val="center"/>
              <w:rPr>
                <w:rFonts w:eastAsia="仿宋_GB2312"/>
                <w:color w:val="000000"/>
                <w:sz w:val="32"/>
                <w:szCs w:val="32"/>
              </w:rPr>
            </w:pPr>
            <w:r>
              <w:rPr>
                <w:rFonts w:eastAsia="仿宋_GB2312"/>
                <w:color w:val="000000"/>
                <w:sz w:val="32"/>
                <w:szCs w:val="32"/>
              </w:rPr>
              <w:t>合  计</w:t>
            </w:r>
          </w:p>
        </w:tc>
        <w:tc>
          <w:tcPr>
            <w:tcW w:w="2939" w:type="dxa"/>
            <w:tcBorders>
              <w:top w:val="nil"/>
              <w:left w:val="nil"/>
              <w:bottom w:val="single" w:color="auto" w:sz="8" w:space="0"/>
              <w:right w:val="nil"/>
            </w:tcBorders>
            <w:shd w:val="clear" w:color="auto" w:fill="auto"/>
            <w:noWrap w:val="0"/>
            <w:vAlign w:val="bottom"/>
          </w:tcPr>
          <w:p>
            <w:pPr>
              <w:jc w:val="center"/>
              <w:rPr>
                <w:color w:val="000000"/>
                <w:sz w:val="32"/>
                <w:szCs w:val="32"/>
              </w:rPr>
            </w:pPr>
            <w:r>
              <w:rPr>
                <w:color w:val="000000"/>
                <w:sz w:val="32"/>
                <w:szCs w:val="32"/>
              </w:rPr>
              <w:t xml:space="preserve">1000000 </w:t>
            </w:r>
          </w:p>
        </w:tc>
        <w:tc>
          <w:tcPr>
            <w:tcW w:w="3307" w:type="dxa"/>
            <w:tcBorders>
              <w:top w:val="nil"/>
              <w:left w:val="nil"/>
              <w:bottom w:val="single" w:color="auto" w:sz="8" w:space="0"/>
              <w:right w:val="single" w:color="auto" w:sz="8" w:space="0"/>
            </w:tcBorders>
            <w:shd w:val="clear" w:color="auto" w:fill="auto"/>
            <w:noWrap w:val="0"/>
            <w:vAlign w:val="bottom"/>
          </w:tcPr>
          <w:p>
            <w:pPr>
              <w:jc w:val="center"/>
              <w:rPr>
                <w:color w:val="000000"/>
                <w:sz w:val="32"/>
                <w:szCs w:val="32"/>
              </w:rPr>
            </w:pPr>
            <w:r>
              <w:rPr>
                <w:color w:val="000000"/>
                <w:sz w:val="32"/>
                <w:szCs w:val="32"/>
              </w:rPr>
              <w:t xml:space="preserve">150000 </w:t>
            </w:r>
          </w:p>
        </w:tc>
      </w:tr>
    </w:tbl>
    <w:p>
      <w:pPr>
        <w:spacing w:line="520" w:lineRule="exact"/>
        <w:rPr>
          <w:rFonts w:eastAsia="仿宋_GB2312"/>
          <w:sz w:val="32"/>
          <w:szCs w:val="32"/>
        </w:rPr>
      </w:pPr>
    </w:p>
    <w:p>
      <w:pPr>
        <w:spacing w:line="520" w:lineRule="exact"/>
        <w:rPr>
          <w:rFonts w:eastAsia="仿宋_GB2312"/>
          <w:sz w:val="32"/>
          <w:szCs w:val="32"/>
        </w:rPr>
      </w:pPr>
    </w:p>
    <w:p>
      <w:pPr>
        <w:spacing w:line="520" w:lineRule="exact"/>
        <w:ind w:firstLine="640" w:firstLineChars="200"/>
        <w:rPr>
          <w:rFonts w:eastAsia="仿宋_GB2312"/>
          <w:sz w:val="32"/>
          <w:szCs w:val="32"/>
        </w:rPr>
        <w:sectPr>
          <w:headerReference r:id="rId3" w:type="default"/>
          <w:footerReference r:id="rId4" w:type="default"/>
          <w:footerReference r:id="rId5" w:type="even"/>
          <w:pgSz w:w="11906" w:h="16838"/>
          <w:pgMar w:top="2098" w:right="1474" w:bottom="1701" w:left="1588" w:header="851" w:footer="1134" w:gutter="0"/>
          <w:pgBorders>
            <w:top w:val="none" w:sz="0" w:space="0"/>
            <w:left w:val="none" w:sz="0" w:space="0"/>
            <w:bottom w:val="none" w:sz="0" w:space="0"/>
            <w:right w:val="none" w:sz="0" w:space="0"/>
          </w:pgBorders>
          <w:pgNumType w:fmt="numberInDash" w:start="1"/>
          <w:cols w:space="425" w:num="1"/>
          <w:docGrid w:linePitch="579" w:charSpace="-3633"/>
        </w:sectPr>
      </w:pPr>
    </w:p>
    <w:p>
      <w:pPr>
        <w:rPr>
          <w:rFonts w:eastAsia="黑体"/>
          <w:sz w:val="32"/>
          <w:szCs w:val="32"/>
        </w:rPr>
      </w:pPr>
      <w:r>
        <w:rPr>
          <w:rFonts w:eastAsia="黑体"/>
          <w:sz w:val="32"/>
          <w:szCs w:val="32"/>
        </w:rPr>
        <w:t>附件2</w:t>
      </w:r>
    </w:p>
    <w:p>
      <w:pPr>
        <w:jc w:val="center"/>
        <w:rPr>
          <w:rFonts w:eastAsia="方正小标宋简体"/>
          <w:sz w:val="44"/>
          <w:szCs w:val="44"/>
        </w:rPr>
      </w:pPr>
      <w:r>
        <w:rPr>
          <w:rFonts w:eastAsia="方正小标宋简体"/>
          <w:sz w:val="44"/>
          <w:szCs w:val="44"/>
        </w:rPr>
        <w:t>天津市老年人家庭医生签约服务工作统计表</w:t>
      </w:r>
    </w:p>
    <w:tbl>
      <w:tblPr>
        <w:tblStyle w:val="7"/>
        <w:tblW w:w="1244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2080"/>
        <w:gridCol w:w="1060"/>
        <w:gridCol w:w="1237"/>
        <w:gridCol w:w="1275"/>
        <w:gridCol w:w="1276"/>
        <w:gridCol w:w="1134"/>
        <w:gridCol w:w="1049"/>
        <w:gridCol w:w="836"/>
        <w:gridCol w:w="1084"/>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9" w:hRule="atLeast"/>
        </w:trPr>
        <w:tc>
          <w:tcPr>
            <w:tcW w:w="600" w:type="dxa"/>
            <w:vMerge w:val="restart"/>
            <w:tcBorders>
              <w:tl2br w:val="nil"/>
              <w:tr2bl w:val="nil"/>
            </w:tcBorders>
            <w:shd w:val="clear" w:color="auto" w:fill="auto"/>
            <w:noWrap w:val="0"/>
            <w:vAlign w:val="center"/>
          </w:tcPr>
          <w:p>
            <w:pPr>
              <w:widowControl/>
              <w:spacing w:line="32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2080" w:type="dxa"/>
            <w:tcBorders>
              <w:tl2br w:val="nil"/>
              <w:tr2bl w:val="nil"/>
            </w:tcBorders>
            <w:shd w:val="clear" w:color="auto" w:fill="auto"/>
            <w:noWrap w:val="0"/>
            <w:vAlign w:val="center"/>
          </w:tcPr>
          <w:p>
            <w:pPr>
              <w:widowControl/>
              <w:spacing w:line="32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区/机构</w:t>
            </w:r>
          </w:p>
        </w:tc>
        <w:tc>
          <w:tcPr>
            <w:tcW w:w="1060" w:type="dxa"/>
            <w:tcBorders>
              <w:tl2br w:val="nil"/>
              <w:tr2bl w:val="nil"/>
            </w:tcBorders>
            <w:shd w:val="clear" w:color="auto" w:fill="auto"/>
            <w:noWrap w:val="0"/>
            <w:vAlign w:val="center"/>
          </w:tcPr>
          <w:p>
            <w:pPr>
              <w:widowControl/>
              <w:spacing w:line="32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签约老年人数</w:t>
            </w:r>
          </w:p>
        </w:tc>
        <w:tc>
          <w:tcPr>
            <w:tcW w:w="1237" w:type="dxa"/>
            <w:tcBorders>
              <w:tl2br w:val="nil"/>
              <w:tr2bl w:val="nil"/>
            </w:tcBorders>
            <w:shd w:val="clear" w:color="auto" w:fill="auto"/>
            <w:noWrap w:val="0"/>
            <w:vAlign w:val="center"/>
          </w:tcPr>
          <w:p>
            <w:pPr>
              <w:widowControl/>
              <w:spacing w:line="32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老年人健康体检人次数</w:t>
            </w:r>
          </w:p>
        </w:tc>
        <w:tc>
          <w:tcPr>
            <w:tcW w:w="1275" w:type="dxa"/>
            <w:tcBorders>
              <w:tl2br w:val="nil"/>
              <w:tr2bl w:val="nil"/>
            </w:tcBorders>
            <w:shd w:val="clear" w:color="auto" w:fill="auto"/>
            <w:noWrap w:val="0"/>
            <w:vAlign w:val="center"/>
          </w:tcPr>
          <w:p>
            <w:pPr>
              <w:spacing w:line="32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血常规检查人次数</w:t>
            </w:r>
          </w:p>
        </w:tc>
        <w:tc>
          <w:tcPr>
            <w:tcW w:w="1276" w:type="dxa"/>
            <w:tcBorders>
              <w:tl2br w:val="nil"/>
              <w:tr2bl w:val="nil"/>
            </w:tcBorders>
            <w:shd w:val="clear" w:color="auto" w:fill="auto"/>
            <w:noWrap w:val="0"/>
            <w:vAlign w:val="center"/>
          </w:tcPr>
          <w:p>
            <w:pPr>
              <w:spacing w:line="32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尿常规检查人次数</w:t>
            </w:r>
          </w:p>
        </w:tc>
        <w:tc>
          <w:tcPr>
            <w:tcW w:w="1134" w:type="dxa"/>
            <w:tcBorders>
              <w:tl2br w:val="nil"/>
              <w:tr2bl w:val="nil"/>
            </w:tcBorders>
            <w:shd w:val="clear" w:color="auto" w:fill="auto"/>
            <w:noWrap w:val="0"/>
            <w:vAlign w:val="center"/>
          </w:tcPr>
          <w:p>
            <w:pPr>
              <w:spacing w:line="32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肝功能检查人次数</w:t>
            </w:r>
          </w:p>
        </w:tc>
        <w:tc>
          <w:tcPr>
            <w:tcW w:w="1049" w:type="dxa"/>
            <w:tcBorders>
              <w:tl2br w:val="nil"/>
              <w:tr2bl w:val="nil"/>
            </w:tcBorders>
            <w:shd w:val="clear" w:color="auto" w:fill="auto"/>
            <w:noWrap w:val="0"/>
            <w:vAlign w:val="center"/>
          </w:tcPr>
          <w:p>
            <w:pPr>
              <w:widowControl/>
              <w:spacing w:line="32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肾功能检查人次数</w:t>
            </w:r>
          </w:p>
        </w:tc>
        <w:tc>
          <w:tcPr>
            <w:tcW w:w="836" w:type="dxa"/>
            <w:tcBorders>
              <w:tl2br w:val="nil"/>
              <w:tr2bl w:val="nil"/>
            </w:tcBorders>
            <w:shd w:val="clear" w:color="auto" w:fill="auto"/>
            <w:noWrap w:val="0"/>
            <w:vAlign w:val="center"/>
          </w:tcPr>
          <w:p>
            <w:pPr>
              <w:widowControl/>
              <w:spacing w:line="32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血脂检查人次数</w:t>
            </w:r>
          </w:p>
        </w:tc>
        <w:tc>
          <w:tcPr>
            <w:tcW w:w="1084" w:type="dxa"/>
            <w:tcBorders>
              <w:tl2br w:val="nil"/>
              <w:tr2bl w:val="nil"/>
            </w:tcBorders>
            <w:shd w:val="clear" w:color="auto" w:fill="auto"/>
            <w:noWrap w:val="0"/>
            <w:vAlign w:val="center"/>
          </w:tcPr>
          <w:p>
            <w:pPr>
              <w:widowControl/>
              <w:spacing w:line="32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心电图检查人次数</w:t>
            </w:r>
          </w:p>
        </w:tc>
        <w:tc>
          <w:tcPr>
            <w:tcW w:w="818" w:type="dxa"/>
            <w:tcBorders>
              <w:tl2br w:val="nil"/>
              <w:tr2bl w:val="nil"/>
            </w:tcBorders>
            <w:shd w:val="clear" w:color="auto" w:fill="auto"/>
            <w:noWrap w:val="0"/>
            <w:vAlign w:val="center"/>
          </w:tcPr>
          <w:p>
            <w:pPr>
              <w:widowControl/>
              <w:spacing w:line="32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B超检查人次数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600" w:type="dxa"/>
            <w:vMerge w:val="continue"/>
            <w:tcBorders>
              <w:tl2br w:val="nil"/>
              <w:tr2bl w:val="nil"/>
            </w:tcBorders>
            <w:shd w:val="clear" w:color="auto" w:fill="auto"/>
            <w:noWrap w:val="0"/>
            <w:vAlign w:val="center"/>
          </w:tcPr>
          <w:p>
            <w:pPr>
              <w:widowControl/>
              <w:jc w:val="left"/>
              <w:rPr>
                <w:color w:val="000000"/>
                <w:kern w:val="0"/>
                <w:sz w:val="22"/>
                <w:szCs w:val="22"/>
              </w:rPr>
            </w:pPr>
          </w:p>
        </w:tc>
        <w:tc>
          <w:tcPr>
            <w:tcW w:w="2080" w:type="dxa"/>
            <w:tcBorders>
              <w:tl2br w:val="nil"/>
              <w:tr2bl w:val="nil"/>
            </w:tcBorders>
            <w:shd w:val="clear" w:color="auto" w:fill="auto"/>
            <w:noWrap/>
            <w:vAlign w:val="center"/>
          </w:tcPr>
          <w:p>
            <w:pPr>
              <w:widowControl/>
              <w:spacing w:line="300" w:lineRule="exact"/>
              <w:jc w:val="center"/>
              <w:rPr>
                <w:color w:val="000000"/>
                <w:kern w:val="0"/>
                <w:sz w:val="20"/>
                <w:szCs w:val="22"/>
              </w:rPr>
            </w:pPr>
            <w:r>
              <w:rPr>
                <w:color w:val="000000"/>
                <w:kern w:val="0"/>
                <w:sz w:val="20"/>
                <w:szCs w:val="22"/>
              </w:rPr>
              <w:t>1</w:t>
            </w:r>
          </w:p>
        </w:tc>
        <w:tc>
          <w:tcPr>
            <w:tcW w:w="1060" w:type="dxa"/>
            <w:tcBorders>
              <w:tl2br w:val="nil"/>
              <w:tr2bl w:val="nil"/>
            </w:tcBorders>
            <w:shd w:val="clear" w:color="auto" w:fill="auto"/>
            <w:noWrap/>
            <w:vAlign w:val="center"/>
          </w:tcPr>
          <w:p>
            <w:pPr>
              <w:widowControl/>
              <w:spacing w:line="300" w:lineRule="exact"/>
              <w:jc w:val="center"/>
              <w:rPr>
                <w:color w:val="000000"/>
                <w:kern w:val="0"/>
                <w:sz w:val="20"/>
                <w:szCs w:val="22"/>
              </w:rPr>
            </w:pPr>
            <w:r>
              <w:rPr>
                <w:color w:val="000000"/>
                <w:kern w:val="0"/>
                <w:sz w:val="20"/>
                <w:szCs w:val="22"/>
              </w:rPr>
              <w:t>2</w:t>
            </w:r>
          </w:p>
        </w:tc>
        <w:tc>
          <w:tcPr>
            <w:tcW w:w="1237" w:type="dxa"/>
            <w:tcBorders>
              <w:tl2br w:val="nil"/>
              <w:tr2bl w:val="nil"/>
            </w:tcBorders>
            <w:shd w:val="clear" w:color="auto" w:fill="auto"/>
            <w:noWrap/>
            <w:vAlign w:val="center"/>
          </w:tcPr>
          <w:p>
            <w:pPr>
              <w:widowControl/>
              <w:spacing w:line="300" w:lineRule="exact"/>
              <w:jc w:val="center"/>
              <w:rPr>
                <w:color w:val="000000"/>
                <w:kern w:val="0"/>
                <w:sz w:val="20"/>
                <w:szCs w:val="22"/>
              </w:rPr>
            </w:pPr>
            <w:r>
              <w:rPr>
                <w:color w:val="000000"/>
                <w:kern w:val="0"/>
                <w:sz w:val="20"/>
                <w:szCs w:val="22"/>
              </w:rPr>
              <w:t>3</w:t>
            </w:r>
          </w:p>
        </w:tc>
        <w:tc>
          <w:tcPr>
            <w:tcW w:w="1275" w:type="dxa"/>
            <w:tcBorders>
              <w:tl2br w:val="nil"/>
              <w:tr2bl w:val="nil"/>
            </w:tcBorders>
            <w:shd w:val="clear" w:color="auto" w:fill="auto"/>
            <w:noWrap/>
            <w:vAlign w:val="center"/>
          </w:tcPr>
          <w:p>
            <w:pPr>
              <w:widowControl/>
              <w:spacing w:line="300" w:lineRule="exact"/>
              <w:jc w:val="center"/>
              <w:rPr>
                <w:color w:val="000000"/>
                <w:kern w:val="0"/>
                <w:sz w:val="20"/>
                <w:szCs w:val="22"/>
              </w:rPr>
            </w:pPr>
            <w:r>
              <w:rPr>
                <w:color w:val="000000"/>
                <w:kern w:val="0"/>
                <w:sz w:val="20"/>
                <w:szCs w:val="22"/>
              </w:rPr>
              <w:t>4</w:t>
            </w:r>
          </w:p>
        </w:tc>
        <w:tc>
          <w:tcPr>
            <w:tcW w:w="1276" w:type="dxa"/>
            <w:tcBorders>
              <w:tl2br w:val="nil"/>
              <w:tr2bl w:val="nil"/>
            </w:tcBorders>
            <w:shd w:val="clear" w:color="auto" w:fill="auto"/>
            <w:noWrap/>
            <w:vAlign w:val="center"/>
          </w:tcPr>
          <w:p>
            <w:pPr>
              <w:widowControl/>
              <w:spacing w:line="300" w:lineRule="exact"/>
              <w:jc w:val="center"/>
              <w:rPr>
                <w:color w:val="000000"/>
                <w:kern w:val="0"/>
                <w:sz w:val="20"/>
                <w:szCs w:val="22"/>
              </w:rPr>
            </w:pPr>
            <w:r>
              <w:rPr>
                <w:color w:val="000000"/>
                <w:kern w:val="0"/>
                <w:sz w:val="20"/>
                <w:szCs w:val="22"/>
              </w:rPr>
              <w:t>5</w:t>
            </w:r>
          </w:p>
        </w:tc>
        <w:tc>
          <w:tcPr>
            <w:tcW w:w="1134" w:type="dxa"/>
            <w:tcBorders>
              <w:tl2br w:val="nil"/>
              <w:tr2bl w:val="nil"/>
            </w:tcBorders>
            <w:shd w:val="clear" w:color="auto" w:fill="auto"/>
            <w:noWrap/>
            <w:vAlign w:val="center"/>
          </w:tcPr>
          <w:p>
            <w:pPr>
              <w:widowControl/>
              <w:spacing w:line="300" w:lineRule="exact"/>
              <w:jc w:val="center"/>
              <w:rPr>
                <w:color w:val="000000"/>
                <w:kern w:val="0"/>
                <w:sz w:val="20"/>
                <w:szCs w:val="22"/>
              </w:rPr>
            </w:pPr>
            <w:r>
              <w:rPr>
                <w:color w:val="000000"/>
                <w:kern w:val="0"/>
                <w:sz w:val="20"/>
                <w:szCs w:val="22"/>
              </w:rPr>
              <w:t>6</w:t>
            </w:r>
          </w:p>
        </w:tc>
        <w:tc>
          <w:tcPr>
            <w:tcW w:w="1049" w:type="dxa"/>
            <w:tcBorders>
              <w:tl2br w:val="nil"/>
              <w:tr2bl w:val="nil"/>
            </w:tcBorders>
            <w:shd w:val="clear" w:color="auto" w:fill="auto"/>
            <w:noWrap/>
            <w:vAlign w:val="center"/>
          </w:tcPr>
          <w:p>
            <w:pPr>
              <w:widowControl/>
              <w:spacing w:line="300" w:lineRule="exact"/>
              <w:jc w:val="center"/>
              <w:rPr>
                <w:color w:val="000000"/>
                <w:kern w:val="0"/>
                <w:sz w:val="20"/>
                <w:szCs w:val="22"/>
              </w:rPr>
            </w:pPr>
            <w:r>
              <w:rPr>
                <w:color w:val="000000"/>
                <w:kern w:val="0"/>
                <w:sz w:val="20"/>
                <w:szCs w:val="22"/>
              </w:rPr>
              <w:t>7</w:t>
            </w:r>
          </w:p>
        </w:tc>
        <w:tc>
          <w:tcPr>
            <w:tcW w:w="836" w:type="dxa"/>
            <w:tcBorders>
              <w:tl2br w:val="nil"/>
              <w:tr2bl w:val="nil"/>
            </w:tcBorders>
            <w:shd w:val="clear" w:color="auto" w:fill="auto"/>
            <w:noWrap/>
            <w:vAlign w:val="center"/>
          </w:tcPr>
          <w:p>
            <w:pPr>
              <w:widowControl/>
              <w:spacing w:line="300" w:lineRule="exact"/>
              <w:jc w:val="center"/>
              <w:rPr>
                <w:color w:val="000000"/>
                <w:kern w:val="0"/>
                <w:sz w:val="20"/>
                <w:szCs w:val="22"/>
              </w:rPr>
            </w:pPr>
            <w:r>
              <w:rPr>
                <w:color w:val="000000"/>
                <w:kern w:val="0"/>
                <w:sz w:val="20"/>
                <w:szCs w:val="22"/>
              </w:rPr>
              <w:t>8</w:t>
            </w:r>
          </w:p>
        </w:tc>
        <w:tc>
          <w:tcPr>
            <w:tcW w:w="1084" w:type="dxa"/>
            <w:tcBorders>
              <w:tl2br w:val="nil"/>
              <w:tr2bl w:val="nil"/>
            </w:tcBorders>
            <w:shd w:val="clear" w:color="auto" w:fill="auto"/>
            <w:noWrap w:val="0"/>
            <w:vAlign w:val="center"/>
          </w:tcPr>
          <w:p>
            <w:pPr>
              <w:widowControl/>
              <w:spacing w:line="300" w:lineRule="exact"/>
              <w:jc w:val="center"/>
              <w:rPr>
                <w:color w:val="000000"/>
                <w:kern w:val="0"/>
                <w:sz w:val="20"/>
                <w:szCs w:val="22"/>
              </w:rPr>
            </w:pPr>
            <w:r>
              <w:rPr>
                <w:color w:val="000000"/>
                <w:kern w:val="0"/>
                <w:sz w:val="20"/>
                <w:szCs w:val="22"/>
              </w:rPr>
              <w:t>9</w:t>
            </w:r>
          </w:p>
        </w:tc>
        <w:tc>
          <w:tcPr>
            <w:tcW w:w="818" w:type="dxa"/>
            <w:tcBorders>
              <w:tl2br w:val="nil"/>
              <w:tr2bl w:val="nil"/>
            </w:tcBorders>
            <w:shd w:val="clear" w:color="auto" w:fill="auto"/>
            <w:noWrap/>
            <w:vAlign w:val="center"/>
          </w:tcPr>
          <w:p>
            <w:pPr>
              <w:widowControl/>
              <w:spacing w:line="300" w:lineRule="exact"/>
              <w:jc w:val="center"/>
              <w:rPr>
                <w:color w:val="000000"/>
                <w:kern w:val="0"/>
                <w:sz w:val="20"/>
                <w:szCs w:val="22"/>
              </w:rPr>
            </w:pPr>
            <w:r>
              <w:rPr>
                <w:color w:val="000000"/>
                <w:kern w:val="0"/>
                <w:sz w:val="20"/>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600"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2080"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060"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37"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75"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76"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134"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049"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836"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084" w:type="dxa"/>
            <w:tcBorders>
              <w:tl2br w:val="nil"/>
              <w:tr2bl w:val="nil"/>
            </w:tcBorders>
            <w:shd w:val="clear" w:color="auto" w:fill="auto"/>
            <w:noWrap w:val="0"/>
            <w:vAlign w:val="top"/>
          </w:tcPr>
          <w:p>
            <w:pPr>
              <w:widowControl/>
              <w:jc w:val="left"/>
              <w:rPr>
                <w:color w:val="000000"/>
                <w:kern w:val="0"/>
                <w:sz w:val="22"/>
                <w:szCs w:val="22"/>
              </w:rPr>
            </w:pPr>
          </w:p>
        </w:tc>
        <w:tc>
          <w:tcPr>
            <w:tcW w:w="818"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600"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2080"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060"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37"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75"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76"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134"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049"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836"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084" w:type="dxa"/>
            <w:tcBorders>
              <w:tl2br w:val="nil"/>
              <w:tr2bl w:val="nil"/>
            </w:tcBorders>
            <w:shd w:val="clear" w:color="auto" w:fill="auto"/>
            <w:noWrap w:val="0"/>
            <w:vAlign w:val="top"/>
          </w:tcPr>
          <w:p>
            <w:pPr>
              <w:widowControl/>
              <w:jc w:val="left"/>
              <w:rPr>
                <w:color w:val="000000"/>
                <w:kern w:val="0"/>
                <w:sz w:val="22"/>
                <w:szCs w:val="22"/>
              </w:rPr>
            </w:pPr>
          </w:p>
        </w:tc>
        <w:tc>
          <w:tcPr>
            <w:tcW w:w="818"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600"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2080"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060"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37"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75"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76"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134"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049"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836"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084" w:type="dxa"/>
            <w:tcBorders>
              <w:tl2br w:val="nil"/>
              <w:tr2bl w:val="nil"/>
            </w:tcBorders>
            <w:shd w:val="clear" w:color="auto" w:fill="auto"/>
            <w:noWrap w:val="0"/>
            <w:vAlign w:val="top"/>
          </w:tcPr>
          <w:p>
            <w:pPr>
              <w:widowControl/>
              <w:jc w:val="left"/>
              <w:rPr>
                <w:color w:val="000000"/>
                <w:kern w:val="0"/>
                <w:sz w:val="22"/>
                <w:szCs w:val="22"/>
              </w:rPr>
            </w:pPr>
          </w:p>
        </w:tc>
        <w:tc>
          <w:tcPr>
            <w:tcW w:w="818"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600" w:type="dxa"/>
            <w:tcBorders>
              <w:tl2br w:val="nil"/>
              <w:tr2bl w:val="nil"/>
            </w:tcBorders>
            <w:shd w:val="clear" w:color="auto" w:fill="auto"/>
            <w:noWrap/>
            <w:vAlign w:val="center"/>
          </w:tcPr>
          <w:p>
            <w:pPr>
              <w:widowControl/>
              <w:jc w:val="left"/>
              <w:rPr>
                <w:color w:val="000000"/>
                <w:kern w:val="0"/>
                <w:sz w:val="22"/>
                <w:szCs w:val="22"/>
              </w:rPr>
            </w:pPr>
          </w:p>
        </w:tc>
        <w:tc>
          <w:tcPr>
            <w:tcW w:w="2080" w:type="dxa"/>
            <w:tcBorders>
              <w:tl2br w:val="nil"/>
              <w:tr2bl w:val="nil"/>
            </w:tcBorders>
            <w:shd w:val="clear" w:color="auto" w:fill="auto"/>
            <w:noWrap/>
            <w:vAlign w:val="center"/>
          </w:tcPr>
          <w:p>
            <w:pPr>
              <w:widowControl/>
              <w:jc w:val="left"/>
              <w:rPr>
                <w:color w:val="000000"/>
                <w:kern w:val="0"/>
                <w:sz w:val="22"/>
                <w:szCs w:val="22"/>
              </w:rPr>
            </w:pPr>
          </w:p>
        </w:tc>
        <w:tc>
          <w:tcPr>
            <w:tcW w:w="1060" w:type="dxa"/>
            <w:tcBorders>
              <w:tl2br w:val="nil"/>
              <w:tr2bl w:val="nil"/>
            </w:tcBorders>
            <w:shd w:val="clear" w:color="auto" w:fill="auto"/>
            <w:noWrap/>
            <w:vAlign w:val="center"/>
          </w:tcPr>
          <w:p>
            <w:pPr>
              <w:widowControl/>
              <w:jc w:val="left"/>
              <w:rPr>
                <w:color w:val="000000"/>
                <w:kern w:val="0"/>
                <w:sz w:val="22"/>
                <w:szCs w:val="22"/>
              </w:rPr>
            </w:pPr>
          </w:p>
        </w:tc>
        <w:tc>
          <w:tcPr>
            <w:tcW w:w="1237" w:type="dxa"/>
            <w:tcBorders>
              <w:tl2br w:val="nil"/>
              <w:tr2bl w:val="nil"/>
            </w:tcBorders>
            <w:shd w:val="clear" w:color="auto" w:fill="auto"/>
            <w:noWrap/>
            <w:vAlign w:val="center"/>
          </w:tcPr>
          <w:p>
            <w:pPr>
              <w:widowControl/>
              <w:jc w:val="left"/>
              <w:rPr>
                <w:color w:val="000000"/>
                <w:kern w:val="0"/>
                <w:sz w:val="22"/>
                <w:szCs w:val="22"/>
              </w:rPr>
            </w:pPr>
          </w:p>
        </w:tc>
        <w:tc>
          <w:tcPr>
            <w:tcW w:w="1275" w:type="dxa"/>
            <w:tcBorders>
              <w:tl2br w:val="nil"/>
              <w:tr2bl w:val="nil"/>
            </w:tcBorders>
            <w:shd w:val="clear" w:color="auto" w:fill="auto"/>
            <w:noWrap/>
            <w:vAlign w:val="center"/>
          </w:tcPr>
          <w:p>
            <w:pPr>
              <w:widowControl/>
              <w:jc w:val="left"/>
              <w:rPr>
                <w:color w:val="000000"/>
                <w:kern w:val="0"/>
                <w:sz w:val="22"/>
                <w:szCs w:val="22"/>
              </w:rPr>
            </w:pPr>
          </w:p>
        </w:tc>
        <w:tc>
          <w:tcPr>
            <w:tcW w:w="1276" w:type="dxa"/>
            <w:tcBorders>
              <w:tl2br w:val="nil"/>
              <w:tr2bl w:val="nil"/>
            </w:tcBorders>
            <w:shd w:val="clear" w:color="auto" w:fill="auto"/>
            <w:noWrap/>
            <w:vAlign w:val="center"/>
          </w:tcPr>
          <w:p>
            <w:pPr>
              <w:widowControl/>
              <w:jc w:val="left"/>
              <w:rPr>
                <w:color w:val="000000"/>
                <w:kern w:val="0"/>
                <w:sz w:val="22"/>
                <w:szCs w:val="22"/>
              </w:rPr>
            </w:pPr>
          </w:p>
        </w:tc>
        <w:tc>
          <w:tcPr>
            <w:tcW w:w="1134" w:type="dxa"/>
            <w:tcBorders>
              <w:tl2br w:val="nil"/>
              <w:tr2bl w:val="nil"/>
            </w:tcBorders>
            <w:shd w:val="clear" w:color="auto" w:fill="auto"/>
            <w:noWrap/>
            <w:vAlign w:val="center"/>
          </w:tcPr>
          <w:p>
            <w:pPr>
              <w:widowControl/>
              <w:jc w:val="left"/>
              <w:rPr>
                <w:color w:val="000000"/>
                <w:kern w:val="0"/>
                <w:sz w:val="22"/>
                <w:szCs w:val="22"/>
              </w:rPr>
            </w:pPr>
          </w:p>
        </w:tc>
        <w:tc>
          <w:tcPr>
            <w:tcW w:w="1049" w:type="dxa"/>
            <w:tcBorders>
              <w:tl2br w:val="nil"/>
              <w:tr2bl w:val="nil"/>
            </w:tcBorders>
            <w:shd w:val="clear" w:color="auto" w:fill="auto"/>
            <w:noWrap/>
            <w:vAlign w:val="center"/>
          </w:tcPr>
          <w:p>
            <w:pPr>
              <w:widowControl/>
              <w:jc w:val="left"/>
              <w:rPr>
                <w:color w:val="000000"/>
                <w:kern w:val="0"/>
                <w:sz w:val="22"/>
                <w:szCs w:val="22"/>
              </w:rPr>
            </w:pPr>
          </w:p>
        </w:tc>
        <w:tc>
          <w:tcPr>
            <w:tcW w:w="836" w:type="dxa"/>
            <w:tcBorders>
              <w:tl2br w:val="nil"/>
              <w:tr2bl w:val="nil"/>
            </w:tcBorders>
            <w:shd w:val="clear" w:color="auto" w:fill="auto"/>
            <w:noWrap/>
            <w:vAlign w:val="center"/>
          </w:tcPr>
          <w:p>
            <w:pPr>
              <w:widowControl/>
              <w:jc w:val="left"/>
              <w:rPr>
                <w:color w:val="000000"/>
                <w:kern w:val="0"/>
                <w:sz w:val="22"/>
                <w:szCs w:val="22"/>
              </w:rPr>
            </w:pPr>
          </w:p>
        </w:tc>
        <w:tc>
          <w:tcPr>
            <w:tcW w:w="1084" w:type="dxa"/>
            <w:tcBorders>
              <w:tl2br w:val="nil"/>
              <w:tr2bl w:val="nil"/>
            </w:tcBorders>
            <w:shd w:val="clear" w:color="auto" w:fill="auto"/>
            <w:noWrap w:val="0"/>
            <w:vAlign w:val="top"/>
          </w:tcPr>
          <w:p>
            <w:pPr>
              <w:widowControl/>
              <w:jc w:val="left"/>
              <w:rPr>
                <w:color w:val="000000"/>
                <w:kern w:val="0"/>
                <w:sz w:val="22"/>
                <w:szCs w:val="22"/>
              </w:rPr>
            </w:pPr>
          </w:p>
        </w:tc>
        <w:tc>
          <w:tcPr>
            <w:tcW w:w="818" w:type="dxa"/>
            <w:tcBorders>
              <w:tl2br w:val="nil"/>
              <w:tr2bl w:val="nil"/>
            </w:tcBorders>
            <w:shd w:val="clear" w:color="auto" w:fill="auto"/>
            <w:noWrap/>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600"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2080"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060"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37"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75"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76"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134"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049"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836"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084" w:type="dxa"/>
            <w:tcBorders>
              <w:tl2br w:val="nil"/>
              <w:tr2bl w:val="nil"/>
            </w:tcBorders>
            <w:shd w:val="clear" w:color="auto" w:fill="auto"/>
            <w:noWrap w:val="0"/>
            <w:vAlign w:val="top"/>
          </w:tcPr>
          <w:p>
            <w:pPr>
              <w:widowControl/>
              <w:jc w:val="left"/>
              <w:rPr>
                <w:color w:val="000000"/>
                <w:kern w:val="0"/>
                <w:sz w:val="22"/>
                <w:szCs w:val="22"/>
              </w:rPr>
            </w:pPr>
          </w:p>
        </w:tc>
        <w:tc>
          <w:tcPr>
            <w:tcW w:w="818" w:type="dxa"/>
            <w:tcBorders>
              <w:tl2br w:val="nil"/>
              <w:tr2bl w:val="nil"/>
            </w:tcBorders>
            <w:shd w:val="clear" w:color="auto" w:fill="auto"/>
            <w:noWrap/>
            <w:vAlign w:val="center"/>
          </w:tcPr>
          <w:p>
            <w:pPr>
              <w:widowControl/>
              <w:jc w:val="left"/>
              <w:rPr>
                <w:color w:val="000000"/>
                <w:kern w:val="0"/>
                <w:sz w:val="22"/>
                <w:szCs w:val="22"/>
              </w:rPr>
            </w:pPr>
            <w:r>
              <w:rPr>
                <w:color w:val="000000"/>
                <w:kern w:val="0"/>
                <w:sz w:val="22"/>
                <w:szCs w:val="22"/>
              </w:rPr>
              <w:t>　</w:t>
            </w:r>
          </w:p>
        </w:tc>
      </w:tr>
    </w:tbl>
    <w:p>
      <w:pPr>
        <w:rPr>
          <w:rFonts w:eastAsia="仿宋_GB2312"/>
          <w:sz w:val="32"/>
          <w:szCs w:val="32"/>
        </w:rPr>
      </w:pPr>
      <w:r>
        <w:rPr>
          <w:rFonts w:eastAsia="仿宋_GB2312"/>
          <w:sz w:val="32"/>
          <w:szCs w:val="32"/>
        </w:rPr>
        <w:t>注：1.此表不需要手动填报，各项数据来源于家庭医生签约服务和基本公共卫生服务系统；</w:t>
      </w:r>
    </w:p>
    <w:p>
      <w:pPr>
        <w:ind w:firstLine="640" w:firstLineChars="200"/>
        <w:rPr>
          <w:rFonts w:eastAsia="仿宋_GB2312"/>
          <w:sz w:val="32"/>
          <w:szCs w:val="32"/>
        </w:rPr>
      </w:pPr>
      <w:r>
        <w:rPr>
          <w:rFonts w:eastAsia="仿宋_GB2312"/>
          <w:sz w:val="32"/>
          <w:szCs w:val="32"/>
        </w:rPr>
        <w:t>2.请各机构将各项任务及时录入系统，并按时上传本机构诊疗数据。</w:t>
      </w:r>
    </w:p>
    <w:p>
      <w:pPr>
        <w:rPr>
          <w:rFonts w:eastAsia="黑体"/>
          <w:sz w:val="32"/>
          <w:szCs w:val="32"/>
        </w:rPr>
      </w:pPr>
    </w:p>
    <w:p>
      <w:pPr>
        <w:rPr>
          <w:rFonts w:eastAsia="黑体"/>
          <w:sz w:val="32"/>
          <w:szCs w:val="32"/>
        </w:rPr>
      </w:pPr>
      <w:r>
        <w:rPr>
          <w:rFonts w:eastAsia="黑体"/>
          <w:sz w:val="32"/>
          <w:szCs w:val="32"/>
        </w:rPr>
        <w:t>附件3</w:t>
      </w:r>
    </w:p>
    <w:p>
      <w:pPr>
        <w:jc w:val="center"/>
        <w:rPr>
          <w:rFonts w:eastAsia="方正小标宋简体"/>
          <w:sz w:val="44"/>
          <w:szCs w:val="44"/>
        </w:rPr>
      </w:pPr>
      <w:r>
        <w:rPr>
          <w:rFonts w:eastAsia="方正小标宋简体"/>
          <w:sz w:val="44"/>
          <w:szCs w:val="44"/>
        </w:rPr>
        <w:t>天津市60岁及以上失能 半失能人员入户医疗护理统计表</w:t>
      </w:r>
    </w:p>
    <w:tbl>
      <w:tblPr>
        <w:tblStyle w:val="7"/>
        <w:tblW w:w="12348" w:type="dxa"/>
        <w:tblInd w:w="93" w:type="dxa"/>
        <w:tblLayout w:type="autofit"/>
        <w:tblCellMar>
          <w:top w:w="0" w:type="dxa"/>
          <w:left w:w="108" w:type="dxa"/>
          <w:bottom w:w="0" w:type="dxa"/>
          <w:right w:w="108" w:type="dxa"/>
        </w:tblCellMar>
      </w:tblPr>
      <w:tblGrid>
        <w:gridCol w:w="600"/>
        <w:gridCol w:w="2080"/>
        <w:gridCol w:w="1060"/>
        <w:gridCol w:w="1237"/>
        <w:gridCol w:w="1275"/>
        <w:gridCol w:w="1276"/>
        <w:gridCol w:w="1134"/>
        <w:gridCol w:w="1276"/>
        <w:gridCol w:w="1276"/>
        <w:gridCol w:w="1134"/>
      </w:tblGrid>
      <w:tr>
        <w:trPr>
          <w:trHeight w:val="435"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序号</w:t>
            </w:r>
          </w:p>
        </w:tc>
        <w:tc>
          <w:tcPr>
            <w:tcW w:w="20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区/机构</w:t>
            </w:r>
          </w:p>
        </w:tc>
        <w:tc>
          <w:tcPr>
            <w:tcW w:w="10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服务对象人数</w:t>
            </w:r>
          </w:p>
        </w:tc>
        <w:tc>
          <w:tcPr>
            <w:tcW w:w="123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入户健康体检次数</w:t>
            </w:r>
          </w:p>
        </w:tc>
        <w:tc>
          <w:tcPr>
            <w:tcW w:w="3685" w:type="dxa"/>
            <w:gridSpan w:val="3"/>
            <w:tcBorders>
              <w:top w:val="single" w:color="auto" w:sz="4" w:space="0"/>
              <w:left w:val="nil"/>
              <w:bottom w:val="single" w:color="auto" w:sz="4" w:space="0"/>
              <w:right w:val="single" w:color="000000" w:sz="4" w:space="0"/>
            </w:tcBorders>
            <w:shd w:val="clear" w:color="auto" w:fill="auto"/>
            <w:noWrap w:val="0"/>
            <w:vAlign w:val="center"/>
          </w:tcPr>
          <w:p>
            <w:pPr>
              <w:widowControl/>
              <w:spacing w:line="32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高血压、糖尿病入户随访</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32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家庭病床出院    人次数</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32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特需上门服务入户次数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入户服务总次数</w:t>
            </w:r>
          </w:p>
        </w:tc>
      </w:tr>
      <w:tr>
        <w:trPr>
          <w:trHeight w:val="149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sz w:val="22"/>
                <w:szCs w:val="22"/>
              </w:rPr>
            </w:pPr>
          </w:p>
        </w:tc>
        <w:tc>
          <w:tcPr>
            <w:tcW w:w="20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sz w:val="22"/>
                <w:szCs w:val="22"/>
              </w:rPr>
            </w:pPr>
          </w:p>
        </w:tc>
        <w:tc>
          <w:tcPr>
            <w:tcW w:w="10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sz w:val="22"/>
                <w:szCs w:val="22"/>
              </w:rPr>
            </w:pPr>
          </w:p>
        </w:tc>
        <w:tc>
          <w:tcPr>
            <w:tcW w:w="12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sz w:val="22"/>
                <w:szCs w:val="22"/>
              </w:rPr>
            </w:pPr>
          </w:p>
        </w:tc>
        <w:tc>
          <w:tcPr>
            <w:tcW w:w="1275"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高血压</w:t>
            </w:r>
          </w:p>
          <w:p>
            <w:pPr>
              <w:widowControl/>
              <w:spacing w:line="32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单患患者  入户随访次数</w:t>
            </w:r>
          </w:p>
        </w:tc>
        <w:tc>
          <w:tcPr>
            <w:tcW w:w="1276"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糖尿病</w:t>
            </w:r>
          </w:p>
          <w:p>
            <w:pPr>
              <w:widowControl/>
              <w:spacing w:line="32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单患患者入户随访次数</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320" w:lineRule="exact"/>
              <w:jc w:val="center"/>
              <w:rPr>
                <w:rFonts w:hint="eastAsia" w:ascii="黑体" w:hAnsi="黑体" w:eastAsia="黑体" w:cs="黑体"/>
                <w:color w:val="000000"/>
                <w:kern w:val="0"/>
                <w:sz w:val="22"/>
                <w:szCs w:val="22"/>
              </w:rPr>
            </w:pPr>
            <w:r>
              <w:rPr>
                <w:rFonts w:hint="eastAsia" w:ascii="黑体" w:hAnsi="黑体" w:eastAsia="黑体" w:cs="黑体"/>
                <w:color w:val="000000"/>
                <w:kern w:val="0"/>
                <w:sz w:val="22"/>
                <w:szCs w:val="22"/>
              </w:rPr>
              <w:t>高血压、糖尿病双患入户随访次数</w:t>
            </w:r>
          </w:p>
        </w:tc>
        <w:tc>
          <w:tcPr>
            <w:tcW w:w="127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color w:val="000000"/>
                <w:kern w:val="0"/>
                <w:sz w:val="22"/>
                <w:szCs w:val="22"/>
              </w:rPr>
            </w:pPr>
          </w:p>
        </w:tc>
        <w:tc>
          <w:tcPr>
            <w:tcW w:w="127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color w:val="000000"/>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r>
      <w:tr>
        <w:trPr>
          <w:trHeight w:val="413"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color w:val="000000"/>
                <w:kern w:val="0"/>
                <w:sz w:val="22"/>
                <w:szCs w:val="22"/>
              </w:rPr>
            </w:pPr>
          </w:p>
        </w:tc>
        <w:tc>
          <w:tcPr>
            <w:tcW w:w="208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color w:val="000000"/>
                <w:kern w:val="0"/>
                <w:sz w:val="20"/>
                <w:szCs w:val="22"/>
              </w:rPr>
            </w:pPr>
            <w:r>
              <w:rPr>
                <w:color w:val="000000"/>
                <w:kern w:val="0"/>
                <w:sz w:val="20"/>
                <w:szCs w:val="22"/>
              </w:rPr>
              <w:t>1</w:t>
            </w:r>
          </w:p>
        </w:tc>
        <w:tc>
          <w:tcPr>
            <w:tcW w:w="106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color w:val="000000"/>
                <w:kern w:val="0"/>
                <w:sz w:val="20"/>
                <w:szCs w:val="22"/>
              </w:rPr>
            </w:pPr>
            <w:r>
              <w:rPr>
                <w:color w:val="000000"/>
                <w:kern w:val="0"/>
                <w:sz w:val="20"/>
                <w:szCs w:val="22"/>
              </w:rPr>
              <w:t>2</w:t>
            </w:r>
          </w:p>
        </w:tc>
        <w:tc>
          <w:tcPr>
            <w:tcW w:w="1237"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color w:val="000000"/>
                <w:kern w:val="0"/>
                <w:sz w:val="20"/>
                <w:szCs w:val="22"/>
              </w:rPr>
            </w:pPr>
            <w:r>
              <w:rPr>
                <w:color w:val="000000"/>
                <w:kern w:val="0"/>
                <w:sz w:val="20"/>
                <w:szCs w:val="22"/>
              </w:rPr>
              <w:t>3</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color w:val="000000"/>
                <w:kern w:val="0"/>
                <w:sz w:val="20"/>
                <w:szCs w:val="22"/>
              </w:rPr>
            </w:pPr>
            <w:r>
              <w:rPr>
                <w:color w:val="000000"/>
                <w:kern w:val="0"/>
                <w:sz w:val="20"/>
                <w:szCs w:val="22"/>
              </w:rPr>
              <w:t>4</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color w:val="000000"/>
                <w:kern w:val="0"/>
                <w:sz w:val="20"/>
                <w:szCs w:val="22"/>
              </w:rPr>
            </w:pPr>
            <w:r>
              <w:rPr>
                <w:color w:val="000000"/>
                <w:kern w:val="0"/>
                <w:sz w:val="20"/>
                <w:szCs w:val="22"/>
              </w:rPr>
              <w:t>5</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color w:val="000000"/>
                <w:kern w:val="0"/>
                <w:sz w:val="20"/>
                <w:szCs w:val="22"/>
              </w:rPr>
            </w:pPr>
            <w:r>
              <w:rPr>
                <w:color w:val="000000"/>
                <w:kern w:val="0"/>
                <w:sz w:val="20"/>
                <w:szCs w:val="22"/>
              </w:rPr>
              <w:t>6</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color w:val="000000"/>
                <w:kern w:val="0"/>
                <w:sz w:val="20"/>
                <w:szCs w:val="22"/>
              </w:rPr>
            </w:pPr>
            <w:r>
              <w:rPr>
                <w:color w:val="000000"/>
                <w:kern w:val="0"/>
                <w:sz w:val="20"/>
                <w:szCs w:val="22"/>
              </w:rPr>
              <w:t>7</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color w:val="000000"/>
                <w:kern w:val="0"/>
                <w:sz w:val="20"/>
                <w:szCs w:val="22"/>
              </w:rPr>
            </w:pPr>
            <w:r>
              <w:rPr>
                <w:color w:val="000000"/>
                <w:kern w:val="0"/>
                <w:sz w:val="20"/>
                <w:szCs w:val="22"/>
              </w:rPr>
              <w:t>8</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color w:val="000000"/>
                <w:kern w:val="0"/>
                <w:sz w:val="20"/>
                <w:szCs w:val="22"/>
              </w:rPr>
            </w:pPr>
            <w:r>
              <w:rPr>
                <w:color w:val="000000"/>
                <w:kern w:val="0"/>
                <w:sz w:val="20"/>
                <w:szCs w:val="22"/>
              </w:rPr>
              <w:t>9</w:t>
            </w:r>
          </w:p>
        </w:tc>
      </w:tr>
      <w:tr>
        <w:trPr>
          <w:trHeight w:val="343"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208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37"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r>
      <w:tr>
        <w:trPr>
          <w:trHeight w:val="37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208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37"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r>
      <w:tr>
        <w:trPr>
          <w:trHeight w:val="37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208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37"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r>
      <w:tr>
        <w:trPr>
          <w:trHeight w:val="37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 w:val="22"/>
                <w:szCs w:val="22"/>
              </w:rPr>
            </w:pPr>
          </w:p>
        </w:tc>
        <w:tc>
          <w:tcPr>
            <w:tcW w:w="208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p>
        </w:tc>
        <w:tc>
          <w:tcPr>
            <w:tcW w:w="1237"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p>
        </w:tc>
      </w:tr>
      <w:tr>
        <w:trPr>
          <w:trHeight w:val="375"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208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37"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　</w:t>
            </w:r>
          </w:p>
        </w:tc>
      </w:tr>
    </w:tbl>
    <w:p>
      <w:pPr>
        <w:rPr>
          <w:rFonts w:eastAsia="仿宋_GB2312"/>
          <w:sz w:val="32"/>
          <w:szCs w:val="32"/>
        </w:rPr>
      </w:pPr>
      <w:r>
        <w:rPr>
          <w:rFonts w:eastAsia="仿宋_GB2312"/>
          <w:sz w:val="32"/>
          <w:szCs w:val="32"/>
        </w:rPr>
        <w:t>注：1.此表不需要手动填报，各项数据来源于家庭医生签约服务系统；</w:t>
      </w:r>
    </w:p>
    <w:p>
      <w:pPr>
        <w:ind w:firstLine="640" w:firstLineChars="200"/>
        <w:rPr>
          <w:rFonts w:eastAsia="仿宋_GB2312"/>
          <w:sz w:val="32"/>
          <w:szCs w:val="32"/>
        </w:rPr>
      </w:pPr>
      <w:r>
        <w:rPr>
          <w:rFonts w:eastAsia="仿宋_GB2312"/>
          <w:sz w:val="32"/>
          <w:szCs w:val="32"/>
        </w:rPr>
        <w:t>2.请各机构将各项任务及时录入系统，并按时上传本机构诊疗数据；</w:t>
      </w:r>
    </w:p>
    <w:p>
      <w:pPr>
        <w:ind w:firstLine="640" w:firstLineChars="200"/>
        <w:rPr>
          <w:rFonts w:eastAsia="仿宋_GB2312"/>
          <w:sz w:val="32"/>
          <w:szCs w:val="32"/>
        </w:rPr>
      </w:pPr>
      <w:r>
        <w:rPr>
          <w:rFonts w:eastAsia="仿宋_GB2312"/>
          <w:sz w:val="32"/>
          <w:szCs w:val="32"/>
        </w:rPr>
        <w:t>3.项目9=3+4+5+6+7+8。</w:t>
      </w:r>
    </w:p>
    <w:p>
      <w:pPr>
        <w:rPr>
          <w:rFonts w:eastAsia="仿宋_GB2312"/>
          <w:sz w:val="32"/>
          <w:szCs w:val="32"/>
        </w:rPr>
        <w:sectPr>
          <w:pgSz w:w="16838" w:h="11906" w:orient="landscape"/>
          <w:pgMar w:top="1588" w:right="2098" w:bottom="1474" w:left="1985" w:header="851" w:footer="1077" w:gutter="0"/>
          <w:pgBorders>
            <w:top w:val="none" w:sz="0" w:space="0"/>
            <w:left w:val="none" w:sz="0" w:space="0"/>
            <w:bottom w:val="none" w:sz="0" w:space="0"/>
            <w:right w:val="none" w:sz="0" w:space="0"/>
          </w:pgBorders>
          <w:pgNumType w:fmt="numberInDash"/>
          <w:cols w:space="425" w:num="1"/>
          <w:docGrid w:type="lines" w:linePitch="579" w:charSpace="-3633"/>
        </w:sect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华文中宋">
    <w:altName w:val="华文宋体"/>
    <w:panose1 w:val="02010600040101010101"/>
    <w:charset w:val="86"/>
    <w:family w:val="auto"/>
    <w:pitch w:val="default"/>
    <w:sig w:usb0="00000000" w:usb1="00000000" w:usb2="00000000" w:usb3="00000000" w:csb0="0004009F" w:csb1="DFD70000"/>
  </w:font>
  <w:font w:name="微软雅黑">
    <w:altName w:val="汉仪旗黑"/>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310" w:h="567" w:hRule="exact" w:wrap="around" w:vAnchor="page" w:hAnchor="margin" w:xAlign="outside" w:y="15140"/>
      <w:spacing w:line="280" w:lineRule="exact"/>
      <w:jc w:val="center"/>
      <w:rPr>
        <w:rStyle w:val="6"/>
        <w:rFonts w:hint="eastAsia"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- 1 -</w:t>
    </w:r>
    <w:r>
      <w:rPr>
        <w:rStyle w:val="6"/>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9FB250A"/>
    <w:rsid w:val="B9FB2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iPriority w:val="0"/>
    <w:rPr>
      <w:sz w:val="32"/>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Office_3.3.0.5120_F1E327BC-269C-435d-A152-05C5408002CA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2021-02-09T09:39:00Z</dcterms:created>
  <dc:creator>yuxi</dc:creator>
  <cp:lastModifiedBy>yuxi</cp:lastModifiedBy>
  <dcterms:modified xsi:type="dcterms:W3CDTF">2021-02-09T09:39:30Z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2052-3.3.0.5120</vt:lpwstr>
  </property>
</Properties>
</file>