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line="510" w:lineRule="atLeast"/>
        <w:rPr>
          <w:rFonts w:ascii="仿宋_GB2312" w:hAnsi="仿宋_GB2312" w:eastAsia="仿宋_GB2312" w:cs="仿宋_GB2312"/>
          <w:b/>
          <w:bCs/>
          <w:color w:val="000000"/>
          <w:sz w:val="32"/>
          <w:szCs w:val="32"/>
        </w:rPr>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pgNumType w:fmt="numberInDash"/>
          <w:cols w:space="0" w:num="1"/>
          <w:rtlGutter w:val="0"/>
          <w:docGrid w:linePitch="312" w:charSpace="0"/>
        </w:sectPr>
      </w:pPr>
      <w:bookmarkStart w:id="0" w:name="_GoBack"/>
      <w:bookmarkEnd w:id="0"/>
    </w:p>
    <w:p>
      <w:pPr>
        <w:pStyle w:val="7"/>
        <w:widowControl/>
        <w:shd w:val="clear" w:color="auto" w:fill="FFFFFF"/>
        <w:wordWrap/>
        <w:adjustRightInd/>
        <w:snapToGrid w:val="0"/>
        <w:spacing w:before="0" w:beforeAutospacing="0" w:after="0" w:afterAutospacing="0" w:line="510" w:lineRule="atLeast"/>
        <w:ind w:left="0" w:leftChars="0" w:right="0" w:firstLine="0" w:firstLineChars="0"/>
        <w:textAlignment w:val="auto"/>
        <w:outlineLvl w:val="9"/>
        <w:rPr>
          <w:rFonts w:ascii="黑体" w:hAnsi="黑体" w:eastAsia="黑体" w:cs="仿宋_GB2312"/>
          <w:color w:val="000000"/>
          <w:spacing w:val="-2"/>
          <w:sz w:val="32"/>
          <w:szCs w:val="32"/>
        </w:rPr>
      </w:pPr>
      <w:r>
        <w:rPr>
          <w:rFonts w:hint="eastAsia" w:ascii="黑体" w:hAnsi="黑体" w:eastAsia="黑体" w:cs="仿宋_GB2312"/>
          <w:color w:val="000000"/>
          <w:spacing w:val="-2"/>
          <w:sz w:val="32"/>
          <w:szCs w:val="32"/>
        </w:rPr>
        <w:t>附件</w:t>
      </w:r>
    </w:p>
    <w:p>
      <w:pPr>
        <w:pStyle w:val="7"/>
        <w:widowControl/>
        <w:shd w:val="clear" w:color="auto" w:fill="FFFFFF"/>
        <w:wordWrap/>
        <w:adjustRightInd/>
        <w:snapToGrid w:val="0"/>
        <w:spacing w:before="0" w:beforeAutospacing="0" w:after="0" w:afterAutospacing="0" w:line="510" w:lineRule="atLeas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4"/>
          <w:szCs w:val="44"/>
        </w:rPr>
        <w:t>积极应对人口老龄化优秀研究成果评选结果</w:t>
      </w:r>
    </w:p>
    <w:tbl>
      <w:tblPr>
        <w:tblStyle w:val="12"/>
        <w:tblW w:w="14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939"/>
        <w:gridCol w:w="5904"/>
        <w:gridCol w:w="1584"/>
        <w:gridCol w:w="361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74" w:type="dxa"/>
            <w:tcBorders>
              <w:tl2br w:val="nil"/>
              <w:tr2bl w:val="nil"/>
            </w:tcBorders>
            <w:vAlign w:val="center"/>
          </w:tcPr>
          <w:p>
            <w:pPr>
              <w:widowControl/>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奖项</w:t>
            </w:r>
          </w:p>
        </w:tc>
        <w:tc>
          <w:tcPr>
            <w:tcW w:w="939" w:type="dxa"/>
            <w:tcBorders>
              <w:tl2br w:val="nil"/>
              <w:tr2bl w:val="nil"/>
            </w:tcBorders>
            <w:vAlign w:val="center"/>
          </w:tcPr>
          <w:p>
            <w:pPr>
              <w:widowControl/>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序号</w:t>
            </w:r>
          </w:p>
        </w:tc>
        <w:tc>
          <w:tcPr>
            <w:tcW w:w="5904" w:type="dxa"/>
            <w:tcBorders>
              <w:tl2br w:val="nil"/>
              <w:tr2bl w:val="nil"/>
            </w:tcBorders>
            <w:vAlign w:val="center"/>
          </w:tcPr>
          <w:p>
            <w:pPr>
              <w:widowControl/>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成果名称</w:t>
            </w:r>
          </w:p>
        </w:tc>
        <w:tc>
          <w:tcPr>
            <w:tcW w:w="1584" w:type="dxa"/>
            <w:tcBorders>
              <w:tl2br w:val="nil"/>
              <w:tr2bl w:val="nil"/>
            </w:tcBorders>
            <w:vAlign w:val="center"/>
          </w:tcPr>
          <w:p>
            <w:pPr>
              <w:widowControl/>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第一作者</w:t>
            </w:r>
          </w:p>
        </w:tc>
        <w:tc>
          <w:tcPr>
            <w:tcW w:w="3612" w:type="dxa"/>
            <w:tcBorders>
              <w:tl2br w:val="nil"/>
              <w:tr2bl w:val="nil"/>
            </w:tcBorders>
            <w:vAlign w:val="center"/>
          </w:tcPr>
          <w:p>
            <w:pPr>
              <w:widowControl/>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单位</w:t>
            </w:r>
          </w:p>
        </w:tc>
        <w:tc>
          <w:tcPr>
            <w:tcW w:w="1288" w:type="dxa"/>
            <w:tcBorders>
              <w:tl2br w:val="nil"/>
              <w:tr2bl w:val="nil"/>
            </w:tcBorders>
            <w:vAlign w:val="center"/>
          </w:tcPr>
          <w:p>
            <w:pPr>
              <w:widowControl/>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restart"/>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一等奖</w:t>
            </w: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北京市老年人参与社区治理的现状及影响因素研究：基于个人—环境匹配视角</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谢立黎</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中国人民大学人口与发展研究中心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深化养老服务供给侧结构性改革</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黄石松</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中国人民大学首都发展与战略研究院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天津老年人长期照护服务高质量发展路径研究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李炳荣</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天津财经大学工商管理研究中心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习近平关于老龄工作重要论述的背景、维度与策略</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原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新</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南开大学经济学院人口与发展研究所</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京津冀协同发展视域下河北省养老服务面临挑战及发展建议</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刘晓静</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河北师范大学</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restart"/>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二等奖</w:t>
            </w: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北京市养老机构绩效成本预算分析和成果应用的研究</w:t>
            </w:r>
          </w:p>
        </w:tc>
        <w:tc>
          <w:tcPr>
            <w:tcW w:w="1584" w:type="dxa"/>
            <w:tcBorders>
              <w:tl2br w:val="nil"/>
              <w:tr2bl w:val="nil"/>
            </w:tcBorders>
            <w:vAlign w:val="center"/>
          </w:tcPr>
          <w:p>
            <w:pPr>
              <w:widowControl/>
              <w:ind w:firstLine="280" w:firstLine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孟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涛</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北京市财政局社会保障处</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基于人工智能的首都核心区老年人口健康状况特征及应对策略研究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黎佳璐</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首都医科大学宣武医院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基于数字挖掘的北京市智慧养老体系研究：实现路径、评价体系和参与意愿影响因素</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胡继晔</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中国政法大学商学院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基于乡村振兴战略的京津冀地区农村老年健身服务供给研究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刘永强</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民政部管理干部学院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原居安老环境需求分析及对策建议</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王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羽</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中国建筑设计研究院有限公司适老建筑实验室</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家庭老年照料的经济价值评估及影响因素分析——基于意愿调查法</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陈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璐</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天津南开大学金融学院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解读机构改革对应对老龄化新国情的战略安排</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胡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雯</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南开大学周恩来政府管理学院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跨界融合视角下京津冀健康产业发展路径研究 ——基于T市的实证研究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赵艳华</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天津财经大学工商管理管理研究中心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隔代照料、成年子女劳动参与和老年生产性</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石贝贝</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河北大学人口研究所</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邢台市保险在医养结合发展中的应用现状及爱晚红枫实践经验介绍</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张福伟</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河北爱晚红枫集团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restart"/>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三等奖</w:t>
            </w: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北京市社区养老服务驿站消防安全研究</w:t>
            </w:r>
          </w:p>
        </w:tc>
        <w:tc>
          <w:tcPr>
            <w:tcW w:w="1584" w:type="dxa"/>
            <w:tcBorders>
              <w:tl2br w:val="nil"/>
              <w:tr2bl w:val="nil"/>
            </w:tcBorders>
            <w:vAlign w:val="center"/>
          </w:tcPr>
          <w:p>
            <w:pPr>
              <w:widowControl/>
              <w:ind w:firstLine="280" w:firstLine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李新泉</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北京市消防救援总队防火监督处</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病房-门诊-家庭一体化管理模式在轻度认知障碍患者中的应用</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乔雨晨</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首都医科大学宣武医院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老龄化趋势加快环境下中国东部地区失能和失智老年人长期照护困境与对策研究—以辽宁省为例</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郑远长</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国家康复辅具研究中心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老年骨质疏松患者衰弱状态对预后的影响</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王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鹏</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首都医科大学附属复兴医院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老年脑卒中住院患者护理评估体系的构建</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赵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洁</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首都医科大学宣武医院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21</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老年医院重大传染病监测、预警和应对研究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丁秀芳</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北京市隆福医院研究所</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22</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我国老年痴呆流行现状及防治策略研究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欧阳雁玲</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中国人民大学</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23</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依托紧密型医联体打造医养结合新模式</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李开来</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北京大学首钢医院老年医学科</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24</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中国老年人认知功能各状态间变化规律及健康期望寿命研究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侯城北</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首都医科大学宣武医院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老年人健康错误信息持续影响效应与死亡态度、健康焦虑的关系研究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金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花</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天津师范大学心理与行为研究院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26</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社区智慧居家养老系统构建模式研究——天津市既有社区虚拟平台建设探讨</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王小荣</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天津大学建筑学院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27</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中老年人对智慧养老认知程度、有效需求及相关因素的调查研究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胡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燕</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天津中医药大学护理学院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28</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“寸草心爱老敬老行动”志愿服务发展与推广</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孔庆余</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共青团河北省委</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29</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后疫情时代老年教育的课程创新与实践 ——以河北老年大学乐龄健康课程为例</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赵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欢</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河北工业职业技术学院老年教育部</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直系组家庭视角下家庭养老资源供需缺口评价与风险人群识别研究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王朋岗</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河北大学</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restart"/>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优秀奖</w:t>
            </w: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北京地区养老机构医养结合能力建设研究</w:t>
            </w:r>
          </w:p>
        </w:tc>
        <w:tc>
          <w:tcPr>
            <w:tcW w:w="1584" w:type="dxa"/>
            <w:tcBorders>
              <w:tl2br w:val="nil"/>
              <w:tr2bl w:val="nil"/>
            </w:tcBorders>
            <w:vAlign w:val="center"/>
          </w:tcPr>
          <w:p>
            <w:pPr>
              <w:widowControl/>
              <w:ind w:firstLine="280" w:firstLine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杨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光</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国投健康产业投资有限公司</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32</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北京广内地区老年人健康状况分析及社区卫生服务模式探讨</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魏军平</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中国中医科学院广安门医院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33</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北京社区老人抑郁症状与动脉粥样硬化双向关系的研究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关绍晨</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首都医科大学宣武医院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34</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东城区老年人失能状况评估分析研究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宋清扬</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北京市隆福医院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多维度构建社区老年人健康服务体系</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白勇涛</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北京市朝阳区太阳宫社区卫生服务中心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36</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感染COVID-19老年患者的临床特征：一项描述性分析</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牛升梅</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北京急救中心科教办</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37</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老年人精神赡养实证研究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尹政伟</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北京市老龄协会权益保护处</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38</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社区居家老年人精神慰藉服务项目的设计与实施效果</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刘均娥</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首都医科大学护理学院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39</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社区卫生服务中心建立中医特色医养结合病房模式探讨——以北京市朝阳区孙河社区卫生服务中心为例</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孙  丽</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北京市朝阳区孙河社区卫生服务中心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40</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台湾地区医养结合考察及对北京市的启发</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卢艳丽</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北京市隆福医院研究所</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41</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突出街道作用，强化社会化养老服务体系的区域化统筹</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韩秀娟</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北京丰台医院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42</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推进新时代北京市老党员先锋队建设的探索与思考</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巨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群</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中共北京市委老干部局活动指导处</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43</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整合设计：应对农村失独家庭困境的制度构建分析</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赵仲杰</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北京建筑大学城市经济与管理学院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44</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中国城镇髋部骨折发病率及其趋势的全国大数据研究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张丞贵</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北京大学第三医院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45</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城市老年人参与社区志愿活动路径研究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丛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梅</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天津社会科学院社会学研究所</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46</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人口老龄化背景下天津市老龄事业与产业发展现状、路径及对策研究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赵艳华</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天津财经大学工商管理研究中心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47</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天津市城乡老年人孤独感影响因素的对比研究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尹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剑</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天津财经大学</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48</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天津市老年人监护制度实施的实证研究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陈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兵</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南开大学法学院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49</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乡土孝治补续视角下留守老人关怀网络构建研究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陈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静</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华北电力大学（保定）法政系</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50</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“积极推进京津冀老年教育可持续发展”</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邢文海</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河北省教育厅老年教育处</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51</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“情绪”冲突对老年人情绪注意加工的影响*</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刘海宁</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河北省承德医学院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52</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关于开展老年人健康教育与健康促进工作的探索——以河北省保定市及莲池区为例</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冯浩楼</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河北科技学院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53</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积极老龄化视域下的京津冀文化养老：难题与破解</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覃志红</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河北省社会科学院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54</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家庭规模、社会支持、健康状况对农村老年女性主观幸福感的影响研究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魏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强</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河北大学经济学院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55</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挖掘燕赵文化价值 创老年研学品牌</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李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琳</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河北工业职业技术学院</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56</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以老年综合评估为切入点开展老年健康管理，深入推进医养结合发展——以河北燕达样本为例</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李海燕</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燕达金色年华健康养护中心</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74" w:type="dxa"/>
            <w:vMerge w:val="continue"/>
            <w:tcBorders>
              <w:tl2br w:val="nil"/>
              <w:tr2bl w:val="nil"/>
            </w:tcBorders>
            <w:vAlign w:val="center"/>
          </w:tcPr>
          <w:p>
            <w:pPr>
              <w:widowControl/>
              <w:jc w:val="center"/>
              <w:rPr>
                <w:rFonts w:ascii="仿宋_GB2312" w:hAnsi="仿宋_GB2312" w:eastAsia="仿宋_GB2312" w:cs="仿宋_GB2312"/>
                <w:color w:val="000000"/>
                <w:kern w:val="0"/>
                <w:sz w:val="28"/>
                <w:szCs w:val="28"/>
              </w:rPr>
            </w:pPr>
          </w:p>
        </w:tc>
        <w:tc>
          <w:tcPr>
            <w:tcW w:w="939"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57</w:t>
            </w:r>
          </w:p>
        </w:tc>
        <w:tc>
          <w:tcPr>
            <w:tcW w:w="5904"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中老年人社会参与对其心理健康的影响——基于潜在类别分析的研究</w:t>
            </w:r>
          </w:p>
        </w:tc>
        <w:tc>
          <w:tcPr>
            <w:tcW w:w="1584"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杨 </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茜</w:t>
            </w:r>
          </w:p>
        </w:tc>
        <w:tc>
          <w:tcPr>
            <w:tcW w:w="3612" w:type="dxa"/>
            <w:tcBorders>
              <w:tl2br w:val="nil"/>
              <w:tr2bl w:val="nil"/>
            </w:tcBorders>
            <w:vAlign w:val="center"/>
          </w:tcPr>
          <w:p>
            <w:pPr>
              <w:widowControl/>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河北大学经济学院人口所</w:t>
            </w:r>
          </w:p>
        </w:tc>
        <w:tc>
          <w:tcPr>
            <w:tcW w:w="1288" w:type="dxa"/>
            <w:tcBorders>
              <w:tl2br w:val="nil"/>
              <w:tr2bl w:val="nil"/>
            </w:tcBorders>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河北</w:t>
            </w:r>
          </w:p>
        </w:tc>
      </w:tr>
    </w:tbl>
    <w:p>
      <w:pPr>
        <w:rPr>
          <w:rFonts w:ascii="仿宋_GB2312" w:hAnsi="仿宋_GB2312" w:eastAsia="仿宋_GB2312" w:cs="仿宋_GB2312"/>
          <w:color w:val="000000"/>
          <w:kern w:val="0"/>
          <w:sz w:val="28"/>
          <w:szCs w:val="28"/>
        </w:rPr>
      </w:pPr>
    </w:p>
    <w:p>
      <w:pP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注：各奖项之间排名不分先后，根据地区、成果名称的首字母排序。</w:t>
      </w:r>
    </w:p>
    <w:p>
      <w:pPr>
        <w:keepNext/>
        <w:widowControl w:val="0"/>
        <w:wordWrap/>
        <w:topLinePunct/>
        <w:autoSpaceDN w:val="0"/>
        <w:adjustRightInd w:val="0"/>
        <w:snapToGrid w:val="0"/>
        <w:spacing w:line="240" w:lineRule="auto"/>
        <w:ind w:left="0" w:leftChars="0" w:right="0" w:firstLine="0" w:firstLineChars="0"/>
        <w:jc w:val="both"/>
        <w:textAlignment w:val="auto"/>
        <w:outlineLvl w:val="9"/>
        <w:rPr>
          <w:rFonts w:hint="eastAsia" w:ascii="仿宋_GB2312" w:hAnsi="仿宋_GB2312" w:eastAsia="仿宋_GB2312" w:cs="仿宋_GB2312"/>
          <w:color w:val="auto"/>
          <w:spacing w:val="-3"/>
          <w:sz w:val="32"/>
          <w:szCs w:val="32"/>
          <w:lang w:eastAsia="zh-CN"/>
        </w:rPr>
      </w:pPr>
    </w:p>
    <w:p>
      <w:pPr>
        <w:rPr>
          <w:rFonts w:hint="eastAsia" w:ascii="仿宋_GB2312" w:hAnsi="仿宋_GB2312" w:eastAsia="仿宋_GB2312" w:cs="仿宋_GB2312"/>
          <w:color w:val="000000"/>
          <w:kern w:val="0"/>
          <w:sz w:val="28"/>
          <w:szCs w:val="28"/>
        </w:rPr>
      </w:pPr>
    </w:p>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等线" w:hAnsi="等线" w:eastAsia="等线" w:cs="宋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0325" cy="154940"/>
              <wp:effectExtent l="0" t="0" r="0" b="0"/>
              <wp:wrapNone/>
              <wp:docPr id="1" name="文本框 3"/>
              <wp:cNvGraphicFramePr/>
              <a:graphic xmlns:a="http://schemas.openxmlformats.org/drawingml/2006/main">
                <a:graphicData uri="http://schemas.microsoft.com/office/word/2010/wordprocessingShape">
                  <wps:wsp>
                    <wps:cNvSpPr/>
                    <wps:spPr>
                      <a:xfrm>
                        <a:off x="0" y="0"/>
                        <a:ext cx="60325" cy="154940"/>
                      </a:xfrm>
                      <a:prstGeom prst="rect">
                        <a:avLst/>
                      </a:prstGeom>
                      <a:noFill/>
                      <a:ln w="9525">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2.2pt;width:4.75pt;mso-position-horizontal:outside;mso-position-horizontal-relative:margin;mso-wrap-style:none;z-index:251658240;mso-width-relative:page;mso-height-relative:page;" filled="f" stroked="f" coordsize="21600,21600" o:gfxdata="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EMXa0QAA&#10;AAIBAAAPAAAAAAAAAAEAIAAAACIAAABkcnMvZG93bnJldi54bWxQSwECFAAUAAAACACHTuJA3DZs&#10;l7MBAABHAwAADgAAAAAAAAABACAAAAAgAQAAZHJzL2Uyb0RvYy54bWxQSwUGAAAAAAYABgBZAQAA&#10;RQ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828"/>
    <w:rsid w:val="00020722"/>
    <w:rsid w:val="00107B65"/>
    <w:rsid w:val="001207DD"/>
    <w:rsid w:val="00210EBD"/>
    <w:rsid w:val="002D65BC"/>
    <w:rsid w:val="00441E09"/>
    <w:rsid w:val="005E4B33"/>
    <w:rsid w:val="00653E6B"/>
    <w:rsid w:val="006B6F8B"/>
    <w:rsid w:val="00717DEC"/>
    <w:rsid w:val="00886761"/>
    <w:rsid w:val="008E5828"/>
    <w:rsid w:val="00973B18"/>
    <w:rsid w:val="00AC2BDF"/>
    <w:rsid w:val="00AC3A88"/>
    <w:rsid w:val="00DA12B4"/>
    <w:rsid w:val="00F126BE"/>
    <w:rsid w:val="00F75C05"/>
    <w:rsid w:val="0BB259A4"/>
    <w:rsid w:val="0CAF4245"/>
    <w:rsid w:val="0E483A2F"/>
    <w:rsid w:val="0F9B009F"/>
    <w:rsid w:val="138A64B0"/>
    <w:rsid w:val="16311DDB"/>
    <w:rsid w:val="17C944F1"/>
    <w:rsid w:val="22A545E3"/>
    <w:rsid w:val="2F6509D0"/>
    <w:rsid w:val="376174CD"/>
    <w:rsid w:val="38C116AD"/>
    <w:rsid w:val="5C374F30"/>
    <w:rsid w:val="62026E5D"/>
    <w:rsid w:val="66AF4687"/>
    <w:rsid w:val="6AD76C96"/>
    <w:rsid w:val="75ED47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Body Text Indent"/>
    <w:basedOn w:val="1"/>
    <w:qFormat/>
    <w:uiPriority w:val="0"/>
    <w:pPr>
      <w:ind w:firstLine="570"/>
    </w:pPr>
    <w:rPr>
      <w:sz w:val="28"/>
    </w:rPr>
  </w:style>
  <w:style w:type="paragraph" w:styleId="4">
    <w:name w:val="Body Text First Indent 2"/>
    <w:basedOn w:val="3"/>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character" w:styleId="9">
    <w:name w:val="Emphasis"/>
    <w:basedOn w:val="8"/>
    <w:qFormat/>
    <w:uiPriority w:val="0"/>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 w:type="character" w:customStyle="1" w:styleId="13">
    <w:name w:val="on2"/>
    <w:basedOn w:val="8"/>
    <w:qFormat/>
    <w:uiPriority w:val="0"/>
  </w:style>
  <w:style w:type="character" w:customStyle="1" w:styleId="14">
    <w:name w:val="bsharetext"/>
    <w:basedOn w:val="8"/>
    <w:qFormat/>
    <w:uiPriority w:val="0"/>
  </w:style>
  <w:style w:type="character" w:customStyle="1" w:styleId="15">
    <w:name w:val="批注框文本 字符"/>
    <w:basedOn w:val="8"/>
    <w:link w:val="2"/>
    <w:qFormat/>
    <w:uiPriority w:val="0"/>
    <w:rPr>
      <w:rFonts w:ascii="等线" w:hAnsi="等线" w:eastAsia="等线"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518</Words>
  <Characters>2955</Characters>
  <Lines>24</Lines>
  <Paragraphs>6</Paragraphs>
  <TotalTime>18</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2020-12-30T07:59:00Z</dcterms:created>
  <dc:creator>瑞英 邱</dc:creator>
  <cp:lastModifiedBy>Wuxiaojie</cp:lastModifiedBy>
  <dcterms:modified xsi:type="dcterms:W3CDTF">2021-01-19T08:33:53Z</dcterms:modified>
  <dc:title>北京市老龄工作委员会办公室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