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Default ContentType="image/png" Extension="png"/>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ind w:firstLine="0" w:firstLineChars="0"/>
        <w:jc w:val="left"/>
        <w:rPr>
          <w:rFonts w:ascii="方正小标宋简体" w:eastAsia="方正小标宋简体"/>
          <w:color w:val="auto"/>
          <w:sz w:val="52"/>
          <w:szCs w:val="52"/>
        </w:rPr>
      </w:pPr>
      <w:bookmarkStart w:id="0" w:name="_Toc31746"/>
      <w:bookmarkStart w:id="1" w:name="_Toc29100"/>
      <w:bookmarkStart w:id="2" w:name="_Toc6374"/>
      <w:bookmarkStart w:id="3" w:name="_Toc30589"/>
      <w:bookmarkStart w:id="4" w:name="_Toc40085565"/>
      <w:bookmarkStart w:id="5" w:name="_Toc16846685"/>
      <w:bookmarkStart w:id="6" w:name="_Toc8134_WPSOffice_Level1"/>
      <w:bookmarkStart w:id="7" w:name="_Toc13319_WPSOffice_Level1"/>
      <w:bookmarkStart w:id="8" w:name="_Toc1823_WPSOffice_Level1"/>
    </w:p>
    <w:p>
      <w:pPr>
        <w:spacing w:line="560" w:lineRule="exact"/>
        <w:ind w:left="600" w:firstLine="0" w:firstLineChars="0"/>
        <w:rPr>
          <w:color w:val="auto"/>
        </w:rPr>
      </w:pPr>
    </w:p>
    <w:p>
      <w:pPr>
        <w:spacing w:line="560" w:lineRule="exact"/>
        <w:ind w:firstLine="0" w:firstLineChars="0"/>
        <w:jc w:val="both"/>
        <w:rPr>
          <w:rFonts w:ascii="方正小标宋简体" w:eastAsia="方正小标宋简体"/>
          <w:color w:val="auto"/>
          <w:sz w:val="52"/>
          <w:szCs w:val="52"/>
        </w:rPr>
      </w:pPr>
    </w:p>
    <w:p>
      <w:pPr>
        <w:spacing w:line="560" w:lineRule="exact"/>
        <w:ind w:firstLine="0" w:firstLineChars="0"/>
        <w:jc w:val="center"/>
        <w:rPr>
          <w:rFonts w:ascii="华文中宋" w:hAnsi="华文中宋" w:eastAsia="华文中宋"/>
          <w:color w:val="auto"/>
          <w:sz w:val="52"/>
          <w:szCs w:val="52"/>
        </w:rPr>
      </w:pPr>
    </w:p>
    <w:p>
      <w:pPr>
        <w:autoSpaceDE w:val="0"/>
        <w:autoSpaceDN w:val="0"/>
        <w:spacing w:line="560" w:lineRule="exact"/>
        <w:ind w:firstLine="0" w:firstLineChars="0"/>
        <w:jc w:val="center"/>
        <w:rPr>
          <w:rFonts w:ascii="方正小标宋_GBK" w:hAnsi="方正小标宋_GBK" w:eastAsia="方正小标宋_GBK" w:cs="方正小标宋_GBK"/>
          <w:b/>
          <w:bCs/>
          <w:color w:val="auto"/>
          <w:sz w:val="52"/>
          <w:szCs w:val="52"/>
        </w:rPr>
      </w:pPr>
      <w:r>
        <w:rPr>
          <w:rFonts w:hint="eastAsia" w:ascii="方正小标宋_GBK" w:hAnsi="方正小标宋_GBK" w:eastAsia="方正小标宋_GBK" w:cs="方正小标宋_GBK"/>
          <w:b/>
          <w:bCs/>
          <w:color w:val="auto"/>
          <w:sz w:val="52"/>
          <w:szCs w:val="52"/>
        </w:rPr>
        <w:t>北京市养老服务专项规划</w:t>
      </w:r>
    </w:p>
    <w:p>
      <w:pPr>
        <w:autoSpaceDE w:val="0"/>
        <w:autoSpaceDN w:val="0"/>
        <w:spacing w:line="560" w:lineRule="exact"/>
        <w:ind w:firstLine="0" w:firstLineChars="0"/>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w:t>
      </w:r>
      <w:r>
        <w:rPr>
          <w:rFonts w:hint="eastAsia" w:ascii="宋体" w:hAnsi="宋体" w:eastAsia="宋体" w:cs="宋体"/>
          <w:color w:val="auto"/>
          <w:sz w:val="44"/>
          <w:szCs w:val="44"/>
        </w:rPr>
        <w:t>2021</w:t>
      </w:r>
      <w:r>
        <w:rPr>
          <w:rFonts w:hint="eastAsia" w:ascii="方正小标宋_GBK" w:hAnsi="方正小标宋_GBK" w:eastAsia="方正小标宋_GBK" w:cs="方正小标宋_GBK"/>
          <w:color w:val="auto"/>
          <w:sz w:val="36"/>
          <w:szCs w:val="36"/>
        </w:rPr>
        <w:t>年</w:t>
      </w:r>
      <w:r>
        <w:rPr>
          <w:rFonts w:hint="eastAsia" w:ascii="方正小标宋_GBK" w:hAnsi="方正小标宋_GBK" w:eastAsia="方正小标宋_GBK" w:cs="方正小标宋_GBK"/>
          <w:color w:val="auto"/>
          <w:sz w:val="44"/>
          <w:szCs w:val="44"/>
        </w:rPr>
        <w:t>-</w:t>
      </w:r>
      <w:r>
        <w:rPr>
          <w:rFonts w:hint="eastAsia" w:ascii="宋体" w:hAnsi="宋体" w:eastAsia="宋体" w:cs="宋体"/>
          <w:color w:val="auto"/>
          <w:sz w:val="44"/>
          <w:szCs w:val="44"/>
        </w:rPr>
        <w:t>2035</w:t>
      </w:r>
      <w:r>
        <w:rPr>
          <w:rFonts w:hint="eastAsia" w:ascii="方正小标宋_GBK" w:hAnsi="方正小标宋_GBK" w:eastAsia="方正小标宋_GBK" w:cs="方正小标宋_GBK"/>
          <w:color w:val="auto"/>
          <w:sz w:val="36"/>
          <w:szCs w:val="36"/>
        </w:rPr>
        <w:t>年</w:t>
      </w:r>
      <w:r>
        <w:rPr>
          <w:rFonts w:hint="eastAsia" w:ascii="方正小标宋_GBK" w:hAnsi="方正小标宋_GBK" w:eastAsia="方正小标宋_GBK" w:cs="方正小标宋_GBK"/>
          <w:color w:val="auto"/>
          <w:sz w:val="44"/>
          <w:szCs w:val="44"/>
        </w:rPr>
        <w:t>）</w:t>
      </w:r>
    </w:p>
    <w:p>
      <w:pPr>
        <w:spacing w:line="560" w:lineRule="exact"/>
        <w:ind w:firstLine="0" w:firstLineChars="0"/>
        <w:rPr>
          <w:color w:val="auto"/>
        </w:rPr>
      </w:pPr>
    </w:p>
    <w:p>
      <w:pPr>
        <w:spacing w:line="560" w:lineRule="exact"/>
        <w:ind w:firstLine="0" w:firstLineChars="0"/>
        <w:rPr>
          <w:color w:val="auto"/>
        </w:rPr>
      </w:pPr>
    </w:p>
    <w:p>
      <w:pPr>
        <w:spacing w:line="560" w:lineRule="exact"/>
        <w:ind w:firstLine="0" w:firstLineChars="0"/>
        <w:rPr>
          <w:color w:val="auto"/>
        </w:rPr>
      </w:pPr>
    </w:p>
    <w:p>
      <w:pPr>
        <w:spacing w:line="560" w:lineRule="exact"/>
        <w:ind w:firstLine="0" w:firstLineChars="0"/>
        <w:rPr>
          <w:color w:val="auto"/>
        </w:rPr>
      </w:pPr>
    </w:p>
    <w:p>
      <w:pPr>
        <w:spacing w:line="560" w:lineRule="exact"/>
        <w:ind w:firstLine="0" w:firstLineChars="0"/>
        <w:rPr>
          <w:color w:val="auto"/>
        </w:rPr>
      </w:pPr>
    </w:p>
    <w:p>
      <w:pPr>
        <w:spacing w:line="560" w:lineRule="exact"/>
        <w:ind w:firstLine="0" w:firstLineChars="0"/>
        <w:rPr>
          <w:color w:val="auto"/>
        </w:rPr>
      </w:pPr>
    </w:p>
    <w:p>
      <w:pPr>
        <w:spacing w:line="560" w:lineRule="exact"/>
        <w:ind w:firstLine="0" w:firstLineChars="0"/>
        <w:rPr>
          <w:color w:val="auto"/>
        </w:rPr>
      </w:pPr>
    </w:p>
    <w:p>
      <w:pPr>
        <w:spacing w:line="560" w:lineRule="exact"/>
        <w:ind w:firstLine="0" w:firstLineChars="0"/>
        <w:rPr>
          <w:color w:val="auto"/>
        </w:rPr>
      </w:pPr>
    </w:p>
    <w:p>
      <w:pPr>
        <w:spacing w:line="560" w:lineRule="exact"/>
        <w:ind w:firstLine="0" w:firstLineChars="0"/>
        <w:rPr>
          <w:color w:val="auto"/>
        </w:rPr>
      </w:pPr>
    </w:p>
    <w:p>
      <w:pPr>
        <w:spacing w:line="560" w:lineRule="exact"/>
        <w:ind w:firstLine="0" w:firstLineChars="0"/>
        <w:rPr>
          <w:color w:val="auto"/>
        </w:rPr>
      </w:pPr>
    </w:p>
    <w:p>
      <w:pPr>
        <w:spacing w:line="560" w:lineRule="exact"/>
        <w:ind w:firstLine="0" w:firstLineChars="0"/>
        <w:rPr>
          <w:color w:val="auto"/>
        </w:rPr>
      </w:pPr>
    </w:p>
    <w:p>
      <w:pPr>
        <w:spacing w:line="560" w:lineRule="exact"/>
        <w:ind w:firstLine="0" w:firstLineChars="0"/>
        <w:rPr>
          <w:color w:val="auto"/>
        </w:rPr>
      </w:pPr>
    </w:p>
    <w:p>
      <w:pPr>
        <w:pStyle w:val="15"/>
        <w:spacing w:afterLines="0" w:line="560" w:lineRule="exact"/>
        <w:ind w:left="952" w:right="1115"/>
        <w:rPr>
          <w:color w:val="auto"/>
          <w:sz w:val="32"/>
          <w:szCs w:val="32"/>
        </w:rPr>
      </w:pPr>
      <w:r>
        <w:rPr>
          <w:rFonts w:hint="eastAsia"/>
          <w:color w:val="auto"/>
          <w:sz w:val="32"/>
          <w:szCs w:val="32"/>
        </w:rPr>
        <w:t>北京市民政局</w:t>
      </w:r>
    </w:p>
    <w:p>
      <w:pPr>
        <w:pStyle w:val="15"/>
        <w:spacing w:afterLines="0" w:line="560" w:lineRule="exact"/>
        <w:ind w:left="952" w:right="1112"/>
        <w:rPr>
          <w:color w:val="auto"/>
          <w:sz w:val="32"/>
          <w:szCs w:val="32"/>
        </w:rPr>
      </w:pPr>
      <w:r>
        <w:rPr>
          <w:rFonts w:hint="eastAsia"/>
          <w:color w:val="auto"/>
          <w:sz w:val="32"/>
          <w:szCs w:val="32"/>
        </w:rPr>
        <w:t>北京市规划和自然资源委员会</w:t>
      </w:r>
    </w:p>
    <w:p>
      <w:pPr>
        <w:pStyle w:val="15"/>
        <w:spacing w:afterLines="0" w:line="560" w:lineRule="exact"/>
        <w:ind w:left="952" w:right="1115"/>
        <w:rPr>
          <w:color w:val="auto"/>
          <w:sz w:val="32"/>
          <w:szCs w:val="32"/>
        </w:rPr>
      </w:pPr>
      <w:r>
        <w:rPr>
          <w:color w:val="auto"/>
          <w:sz w:val="32"/>
          <w:szCs w:val="32"/>
        </w:rPr>
        <w:t>202</w:t>
      </w:r>
      <w:r>
        <w:rPr>
          <w:rFonts w:hint="eastAsia"/>
          <w:color w:val="auto"/>
          <w:sz w:val="32"/>
          <w:szCs w:val="32"/>
        </w:rPr>
        <w:t>1</w:t>
      </w:r>
      <w:r>
        <w:rPr>
          <w:rFonts w:hint="eastAsia"/>
          <w:color w:val="auto"/>
          <w:spacing w:val="-40"/>
          <w:sz w:val="32"/>
          <w:szCs w:val="32"/>
        </w:rPr>
        <w:t xml:space="preserve">年 </w:t>
      </w:r>
      <w:r>
        <w:rPr>
          <w:color w:val="auto"/>
          <w:spacing w:val="-40"/>
          <w:sz w:val="32"/>
          <w:szCs w:val="32"/>
        </w:rPr>
        <w:t xml:space="preserve"> </w:t>
      </w:r>
      <w:r>
        <w:rPr>
          <w:rFonts w:hint="eastAsia"/>
          <w:color w:val="auto"/>
          <w:spacing w:val="-40"/>
          <w:sz w:val="32"/>
          <w:szCs w:val="32"/>
          <w:lang w:val="en-US" w:eastAsia="zh-CN"/>
        </w:rPr>
        <w:t>9</w:t>
      </w:r>
      <w:r>
        <w:rPr>
          <w:rFonts w:hint="eastAsia"/>
          <w:color w:val="auto"/>
          <w:sz w:val="32"/>
          <w:szCs w:val="32"/>
        </w:rPr>
        <w:t>月</w:t>
      </w:r>
    </w:p>
    <w:p>
      <w:pPr>
        <w:widowControl/>
        <w:wordWrap w:val="0"/>
        <w:autoSpaceDE w:val="0"/>
        <w:autoSpaceDN w:val="0"/>
        <w:spacing w:line="560" w:lineRule="exact"/>
        <w:ind w:firstLine="720"/>
        <w:rPr>
          <w:rFonts w:ascii="Times New Roman" w:hAnsi="Times New Roman" w:cs="Times New Roman"/>
          <w:color w:val="auto"/>
          <w:sz w:val="36"/>
        </w:rPr>
        <w:sectPr>
          <w:headerReference r:id="rId8" w:type="first"/>
          <w:footerReference r:id="rId11" w:type="first"/>
          <w:headerReference r:id="rId6" w:type="default"/>
          <w:footerReference r:id="rId9" w:type="default"/>
          <w:headerReference r:id="rId7" w:type="even"/>
          <w:footerReference r:id="rId10" w:type="even"/>
          <w:pgSz w:w="11906" w:h="16838"/>
          <w:pgMar w:top="0" w:right="1800" w:bottom="1440" w:left="1800" w:header="851" w:footer="992" w:gutter="0"/>
          <w:pgNumType w:fmt="upperRoman" w:start="1"/>
          <w:cols w:space="720" w:num="1"/>
          <w:titlePg/>
          <w:docGrid w:type="lines" w:linePitch="408" w:charSpace="0"/>
        </w:sectPr>
      </w:pPr>
    </w:p>
    <w:p>
      <w:pPr>
        <w:spacing w:after="217" w:line="560" w:lineRule="exact"/>
        <w:ind w:firstLine="0" w:firstLineChars="0"/>
        <w:jc w:val="center"/>
        <w:rPr>
          <w:rFonts w:ascii="黑体" w:hAnsi="黑体" w:eastAsia="黑体"/>
          <w:b/>
          <w:bCs/>
          <w:color w:val="auto"/>
          <w:sz w:val="36"/>
          <w:szCs w:val="36"/>
        </w:rPr>
      </w:pPr>
      <w:bookmarkStart w:id="9" w:name="_Hlk14249168"/>
      <w:r>
        <w:rPr>
          <w:rFonts w:ascii="黑体" w:hAnsi="黑体" w:eastAsia="黑体"/>
          <w:b/>
          <w:bCs/>
          <w:color w:val="auto"/>
          <w:sz w:val="36"/>
          <w:szCs w:val="36"/>
        </w:rPr>
        <w:t>目</w:t>
      </w:r>
      <w:r>
        <w:rPr>
          <w:rFonts w:hint="eastAsia" w:ascii="黑体" w:hAnsi="黑体" w:eastAsia="黑体"/>
          <w:b/>
          <w:bCs/>
          <w:color w:val="auto"/>
          <w:sz w:val="36"/>
          <w:szCs w:val="36"/>
        </w:rPr>
        <w:t xml:space="preserve">  </w:t>
      </w:r>
      <w:r>
        <w:rPr>
          <w:rFonts w:ascii="黑体" w:hAnsi="黑体" w:eastAsia="黑体"/>
          <w:b/>
          <w:bCs/>
          <w:color w:val="auto"/>
          <w:sz w:val="36"/>
          <w:szCs w:val="36"/>
        </w:rPr>
        <w:t>录</w:t>
      </w:r>
      <w:bookmarkStart w:id="10" w:name="_Hlk14419050"/>
      <w:bookmarkStart w:id="11" w:name="_Toc27652_WPSOffice_Level1"/>
    </w:p>
    <w:p>
      <w:pPr>
        <w:tabs>
          <w:tab w:val="right" w:pos="8306"/>
        </w:tabs>
        <w:spacing w:line="560" w:lineRule="exact"/>
        <w:ind w:firstLine="0" w:firstLineChars="0"/>
        <w:rPr>
          <w:rFonts w:ascii="黑体" w:hAnsi="黑体" w:eastAsia="等线"/>
          <w:color w:val="auto"/>
          <w:sz w:val="11"/>
          <w:szCs w:val="11"/>
        </w:rPr>
      </w:pPr>
    </w:p>
    <w:p>
      <w:pPr>
        <w:pStyle w:val="23"/>
        <w:tabs>
          <w:tab w:val="right" w:leader="dot" w:pos="8306"/>
        </w:tabs>
        <w:rPr>
          <w:color w:val="auto"/>
        </w:rPr>
      </w:pPr>
      <w:r>
        <w:rPr>
          <w:rFonts w:eastAsia="仿宋"/>
          <w:color w:val="auto"/>
          <w:sz w:val="24"/>
          <w:szCs w:val="24"/>
        </w:rPr>
        <w:fldChar w:fldCharType="begin"/>
      </w:r>
      <w:r>
        <w:rPr>
          <w:rFonts w:eastAsia="仿宋"/>
          <w:color w:val="auto"/>
          <w:sz w:val="24"/>
          <w:szCs w:val="24"/>
        </w:rPr>
        <w:instrText xml:space="preserve"> TOC \o "1-2" \h \z \u </w:instrText>
      </w:r>
      <w:r>
        <w:rPr>
          <w:rFonts w:eastAsia="仿宋"/>
          <w:color w:val="auto"/>
          <w:sz w:val="24"/>
          <w:szCs w:val="24"/>
        </w:rPr>
        <w:fldChar w:fldCharType="separate"/>
      </w:r>
      <w:r>
        <w:rPr>
          <w:rFonts w:eastAsia="仿宋"/>
          <w:color w:val="auto"/>
          <w:szCs w:val="24"/>
        </w:rPr>
        <w:fldChar w:fldCharType="begin"/>
      </w:r>
      <w:r>
        <w:rPr>
          <w:rFonts w:eastAsia="仿宋"/>
          <w:color w:val="auto"/>
          <w:szCs w:val="24"/>
        </w:rPr>
        <w:instrText xml:space="preserve"> HYPERLINK \l _Toc844497453 </w:instrText>
      </w:r>
      <w:r>
        <w:rPr>
          <w:rFonts w:eastAsia="仿宋"/>
          <w:color w:val="auto"/>
          <w:szCs w:val="24"/>
        </w:rPr>
        <w:fldChar w:fldCharType="separate"/>
      </w:r>
      <w:r>
        <w:rPr>
          <w:rFonts w:hint="eastAsia"/>
          <w:color w:val="auto"/>
        </w:rPr>
        <w:t>序 言</w:t>
      </w:r>
      <w:r>
        <w:rPr>
          <w:color w:val="auto"/>
        </w:rPr>
        <w:tab/>
      </w:r>
      <w:r>
        <w:rPr>
          <w:color w:val="auto"/>
        </w:rPr>
        <w:fldChar w:fldCharType="begin"/>
      </w:r>
      <w:r>
        <w:rPr>
          <w:color w:val="auto"/>
        </w:rPr>
        <w:instrText xml:space="preserve"> PAGEREF _Toc844497453 </w:instrText>
      </w:r>
      <w:r>
        <w:rPr>
          <w:color w:val="auto"/>
        </w:rPr>
        <w:fldChar w:fldCharType="separate"/>
      </w:r>
      <w:r>
        <w:rPr>
          <w:color w:val="auto"/>
        </w:rPr>
        <w:t>1</w:t>
      </w:r>
      <w:r>
        <w:rPr>
          <w:color w:val="auto"/>
        </w:rPr>
        <w:fldChar w:fldCharType="end"/>
      </w:r>
      <w:r>
        <w:rPr>
          <w:rFonts w:eastAsia="仿宋"/>
          <w:color w:val="auto"/>
          <w:szCs w:val="24"/>
        </w:rPr>
        <w:fldChar w:fldCharType="end"/>
      </w:r>
    </w:p>
    <w:p>
      <w:pPr>
        <w:pStyle w:val="23"/>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_Toc420558373 </w:instrText>
      </w:r>
      <w:r>
        <w:rPr>
          <w:rFonts w:ascii="仿宋" w:hAnsi="仿宋" w:eastAsia="仿宋" w:cs="Times New Roman"/>
          <w:color w:val="auto"/>
          <w:kern w:val="0"/>
          <w:szCs w:val="24"/>
          <w:lang w:val="en-US" w:eastAsia="zh-CN" w:bidi="ar-SA"/>
        </w:rPr>
        <w:fldChar w:fldCharType="separate"/>
      </w:r>
      <w:r>
        <w:rPr>
          <w:rFonts w:hint="eastAsia"/>
          <w:color w:val="auto"/>
        </w:rPr>
        <w:t>总 则</w:t>
      </w:r>
      <w:r>
        <w:rPr>
          <w:color w:val="auto"/>
        </w:rPr>
        <w:tab/>
      </w:r>
      <w:r>
        <w:rPr>
          <w:color w:val="auto"/>
        </w:rPr>
        <w:fldChar w:fldCharType="begin"/>
      </w:r>
      <w:r>
        <w:rPr>
          <w:color w:val="auto"/>
        </w:rPr>
        <w:instrText xml:space="preserve"> PAGEREF _Toc420558373 </w:instrText>
      </w:r>
      <w:r>
        <w:rPr>
          <w:color w:val="auto"/>
        </w:rPr>
        <w:fldChar w:fldCharType="separate"/>
      </w:r>
      <w:r>
        <w:rPr>
          <w:color w:val="auto"/>
        </w:rPr>
        <w:t>2</w:t>
      </w:r>
      <w:r>
        <w:rPr>
          <w:color w:val="auto"/>
        </w:rPr>
        <w:fldChar w:fldCharType="end"/>
      </w:r>
      <w:r>
        <w:rPr>
          <w:rFonts w:ascii="仿宋" w:hAnsi="仿宋" w:eastAsia="仿宋" w:cs="Times New Roman"/>
          <w:color w:val="auto"/>
          <w:kern w:val="0"/>
          <w:szCs w:val="24"/>
          <w:lang w:val="en-US" w:eastAsia="zh-CN" w:bidi="ar-SA"/>
        </w:rPr>
        <w:fldChar w:fldCharType="end"/>
      </w:r>
    </w:p>
    <w:p>
      <w:pPr>
        <w:pStyle w:val="23"/>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_Toc1842066909 </w:instrText>
      </w:r>
      <w:r>
        <w:rPr>
          <w:rFonts w:ascii="仿宋" w:hAnsi="仿宋" w:eastAsia="仿宋" w:cs="Times New Roman"/>
          <w:color w:val="auto"/>
          <w:kern w:val="0"/>
          <w:szCs w:val="24"/>
          <w:lang w:val="en-US" w:eastAsia="zh-CN" w:bidi="ar-SA"/>
        </w:rPr>
        <w:fldChar w:fldCharType="separate"/>
      </w:r>
      <w:r>
        <w:rPr>
          <w:rFonts w:hint="eastAsia"/>
          <w:color w:val="auto"/>
        </w:rPr>
        <w:t>第</w:t>
      </w:r>
      <w:r>
        <w:rPr>
          <w:color w:val="auto"/>
        </w:rPr>
        <w:t>一章</w:t>
      </w:r>
      <w:r>
        <w:rPr>
          <w:rFonts w:hint="eastAsia"/>
          <w:color w:val="auto"/>
        </w:rPr>
        <w:t xml:space="preserve"> </w:t>
      </w:r>
      <w:r>
        <w:rPr>
          <w:color w:val="auto"/>
        </w:rPr>
        <w:t>规划背景</w:t>
      </w:r>
      <w:r>
        <w:rPr>
          <w:color w:val="auto"/>
        </w:rPr>
        <w:tab/>
      </w:r>
      <w:r>
        <w:rPr>
          <w:color w:val="auto"/>
        </w:rPr>
        <w:fldChar w:fldCharType="begin"/>
      </w:r>
      <w:r>
        <w:rPr>
          <w:color w:val="auto"/>
        </w:rPr>
        <w:instrText xml:space="preserve"> PAGEREF _Toc1842066909 </w:instrText>
      </w:r>
      <w:r>
        <w:rPr>
          <w:color w:val="auto"/>
        </w:rPr>
        <w:fldChar w:fldCharType="separate"/>
      </w:r>
      <w:r>
        <w:rPr>
          <w:color w:val="auto"/>
        </w:rPr>
        <w:t>8</w:t>
      </w:r>
      <w:r>
        <w:rPr>
          <w:color w:val="auto"/>
        </w:rPr>
        <w:fldChar w:fldCharType="end"/>
      </w:r>
      <w:r>
        <w:rPr>
          <w:rFonts w:ascii="仿宋" w:hAnsi="仿宋" w:eastAsia="仿宋" w:cs="Times New Roman"/>
          <w:color w:val="auto"/>
          <w:kern w:val="0"/>
          <w:szCs w:val="24"/>
          <w:lang w:val="en-US" w:eastAsia="zh-CN" w:bidi="ar-SA"/>
        </w:rPr>
        <w:fldChar w:fldCharType="end"/>
      </w:r>
    </w:p>
    <w:p>
      <w:pPr>
        <w:pStyle w:val="28"/>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_Toc2086284861 </w:instrText>
      </w:r>
      <w:r>
        <w:rPr>
          <w:rFonts w:ascii="仿宋" w:hAnsi="仿宋" w:eastAsia="仿宋" w:cs="Times New Roman"/>
          <w:color w:val="auto"/>
          <w:kern w:val="0"/>
          <w:szCs w:val="24"/>
          <w:lang w:val="en-US" w:eastAsia="zh-CN" w:bidi="ar-SA"/>
        </w:rPr>
        <w:fldChar w:fldCharType="separate"/>
      </w:r>
      <w:r>
        <w:rPr>
          <w:rFonts w:hint="eastAsia"/>
          <w:color w:val="auto"/>
        </w:rPr>
        <w:t>第</w:t>
      </w:r>
      <w:r>
        <w:rPr>
          <w:rFonts w:hint="eastAsia"/>
          <w:color w:val="auto"/>
          <w:lang w:eastAsia="zh-CN"/>
        </w:rPr>
        <w:t>一</w:t>
      </w:r>
      <w:r>
        <w:rPr>
          <w:rFonts w:hint="eastAsia"/>
          <w:color w:val="auto"/>
        </w:rPr>
        <w:t>节 发展趋势</w:t>
      </w:r>
      <w:r>
        <w:rPr>
          <w:color w:val="auto"/>
        </w:rPr>
        <w:tab/>
      </w:r>
      <w:r>
        <w:rPr>
          <w:color w:val="auto"/>
        </w:rPr>
        <w:fldChar w:fldCharType="begin"/>
      </w:r>
      <w:r>
        <w:rPr>
          <w:color w:val="auto"/>
        </w:rPr>
        <w:instrText xml:space="preserve"> PAGEREF _Toc2086284861 </w:instrText>
      </w:r>
      <w:r>
        <w:rPr>
          <w:color w:val="auto"/>
        </w:rPr>
        <w:fldChar w:fldCharType="separate"/>
      </w:r>
      <w:r>
        <w:rPr>
          <w:color w:val="auto"/>
        </w:rPr>
        <w:t>8</w:t>
      </w:r>
      <w:r>
        <w:rPr>
          <w:color w:val="auto"/>
        </w:rPr>
        <w:fldChar w:fldCharType="end"/>
      </w:r>
      <w:r>
        <w:rPr>
          <w:rFonts w:ascii="仿宋" w:hAnsi="仿宋" w:eastAsia="仿宋" w:cs="Times New Roman"/>
          <w:color w:val="auto"/>
          <w:kern w:val="0"/>
          <w:szCs w:val="24"/>
          <w:lang w:val="en-US" w:eastAsia="zh-CN" w:bidi="ar-SA"/>
        </w:rPr>
        <w:fldChar w:fldCharType="end"/>
      </w:r>
    </w:p>
    <w:p>
      <w:pPr>
        <w:pStyle w:val="28"/>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_Toc1993407242 </w:instrText>
      </w:r>
      <w:r>
        <w:rPr>
          <w:rFonts w:ascii="仿宋" w:hAnsi="仿宋" w:eastAsia="仿宋" w:cs="Times New Roman"/>
          <w:color w:val="auto"/>
          <w:kern w:val="0"/>
          <w:szCs w:val="24"/>
          <w:lang w:val="en-US" w:eastAsia="zh-CN" w:bidi="ar-SA"/>
        </w:rPr>
        <w:fldChar w:fldCharType="separate"/>
      </w:r>
      <w:r>
        <w:rPr>
          <w:rFonts w:hint="eastAsia"/>
          <w:color w:val="auto"/>
        </w:rPr>
        <w:t>第</w:t>
      </w:r>
      <w:r>
        <w:rPr>
          <w:rFonts w:hint="eastAsia"/>
          <w:color w:val="auto"/>
          <w:lang w:eastAsia="zh-CN"/>
        </w:rPr>
        <w:t>二</w:t>
      </w:r>
      <w:r>
        <w:rPr>
          <w:rFonts w:hint="eastAsia"/>
          <w:color w:val="auto"/>
        </w:rPr>
        <w:t>节 发展思路</w:t>
      </w:r>
      <w:r>
        <w:rPr>
          <w:color w:val="auto"/>
        </w:rPr>
        <w:tab/>
      </w:r>
      <w:r>
        <w:rPr>
          <w:color w:val="auto"/>
        </w:rPr>
        <w:fldChar w:fldCharType="begin"/>
      </w:r>
      <w:r>
        <w:rPr>
          <w:color w:val="auto"/>
        </w:rPr>
        <w:instrText xml:space="preserve"> PAGEREF _Toc1993407242 </w:instrText>
      </w:r>
      <w:r>
        <w:rPr>
          <w:color w:val="auto"/>
        </w:rPr>
        <w:fldChar w:fldCharType="separate"/>
      </w:r>
      <w:r>
        <w:rPr>
          <w:color w:val="auto"/>
        </w:rPr>
        <w:t>9</w:t>
      </w:r>
      <w:r>
        <w:rPr>
          <w:color w:val="auto"/>
        </w:rPr>
        <w:fldChar w:fldCharType="end"/>
      </w:r>
      <w:r>
        <w:rPr>
          <w:rFonts w:ascii="仿宋" w:hAnsi="仿宋" w:eastAsia="仿宋" w:cs="Times New Roman"/>
          <w:color w:val="auto"/>
          <w:kern w:val="0"/>
          <w:szCs w:val="24"/>
          <w:lang w:val="en-US" w:eastAsia="zh-CN" w:bidi="ar-SA"/>
        </w:rPr>
        <w:fldChar w:fldCharType="end"/>
      </w:r>
    </w:p>
    <w:p>
      <w:pPr>
        <w:pStyle w:val="23"/>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_Toc1258891018 </w:instrText>
      </w:r>
      <w:r>
        <w:rPr>
          <w:rFonts w:ascii="仿宋" w:hAnsi="仿宋" w:eastAsia="仿宋" w:cs="Times New Roman"/>
          <w:color w:val="auto"/>
          <w:kern w:val="0"/>
          <w:szCs w:val="24"/>
          <w:lang w:val="en-US" w:eastAsia="zh-CN" w:bidi="ar-SA"/>
        </w:rPr>
        <w:fldChar w:fldCharType="separate"/>
      </w:r>
      <w:r>
        <w:rPr>
          <w:color w:val="auto"/>
        </w:rPr>
        <w:t>第</w:t>
      </w:r>
      <w:r>
        <w:rPr>
          <w:rFonts w:hint="eastAsia"/>
          <w:color w:val="auto"/>
        </w:rPr>
        <w:t>二</w:t>
      </w:r>
      <w:r>
        <w:rPr>
          <w:color w:val="auto"/>
        </w:rPr>
        <w:t>章</w:t>
      </w:r>
      <w:r>
        <w:rPr>
          <w:rFonts w:hint="eastAsia"/>
          <w:color w:val="auto"/>
        </w:rPr>
        <w:t xml:space="preserve"> 建设老年友好型社会</w:t>
      </w:r>
      <w:r>
        <w:rPr>
          <w:color w:val="auto"/>
        </w:rPr>
        <w:tab/>
      </w:r>
      <w:r>
        <w:rPr>
          <w:color w:val="auto"/>
        </w:rPr>
        <w:fldChar w:fldCharType="begin"/>
      </w:r>
      <w:r>
        <w:rPr>
          <w:color w:val="auto"/>
        </w:rPr>
        <w:instrText xml:space="preserve"> PAGEREF _Toc1258891018 </w:instrText>
      </w:r>
      <w:r>
        <w:rPr>
          <w:color w:val="auto"/>
        </w:rPr>
        <w:fldChar w:fldCharType="separate"/>
      </w:r>
      <w:r>
        <w:rPr>
          <w:color w:val="auto"/>
        </w:rPr>
        <w:t>11</w:t>
      </w:r>
      <w:r>
        <w:rPr>
          <w:color w:val="auto"/>
        </w:rPr>
        <w:fldChar w:fldCharType="end"/>
      </w:r>
      <w:r>
        <w:rPr>
          <w:rFonts w:ascii="仿宋" w:hAnsi="仿宋" w:eastAsia="仿宋" w:cs="Times New Roman"/>
          <w:color w:val="auto"/>
          <w:kern w:val="0"/>
          <w:szCs w:val="24"/>
          <w:lang w:val="en-US" w:eastAsia="zh-CN" w:bidi="ar-SA"/>
        </w:rPr>
        <w:fldChar w:fldCharType="end"/>
      </w:r>
    </w:p>
    <w:p>
      <w:pPr>
        <w:pStyle w:val="28"/>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_Toc293647616 </w:instrText>
      </w:r>
      <w:r>
        <w:rPr>
          <w:rFonts w:ascii="仿宋" w:hAnsi="仿宋" w:eastAsia="仿宋" w:cs="Times New Roman"/>
          <w:color w:val="auto"/>
          <w:kern w:val="0"/>
          <w:szCs w:val="24"/>
          <w:lang w:val="en-US" w:eastAsia="zh-CN" w:bidi="ar-SA"/>
        </w:rPr>
        <w:fldChar w:fldCharType="separate"/>
      </w:r>
      <w:r>
        <w:rPr>
          <w:rFonts w:hint="eastAsia"/>
          <w:color w:val="auto"/>
        </w:rPr>
        <w:t>第一节 创建国际一流老年宜居环境</w:t>
      </w:r>
      <w:r>
        <w:rPr>
          <w:color w:val="auto"/>
        </w:rPr>
        <w:tab/>
      </w:r>
      <w:r>
        <w:rPr>
          <w:color w:val="auto"/>
        </w:rPr>
        <w:fldChar w:fldCharType="begin"/>
      </w:r>
      <w:r>
        <w:rPr>
          <w:color w:val="auto"/>
        </w:rPr>
        <w:instrText xml:space="preserve"> PAGEREF _Toc293647616 </w:instrText>
      </w:r>
      <w:r>
        <w:rPr>
          <w:color w:val="auto"/>
        </w:rPr>
        <w:fldChar w:fldCharType="separate"/>
      </w:r>
      <w:r>
        <w:rPr>
          <w:color w:val="auto"/>
        </w:rPr>
        <w:t>11</w:t>
      </w:r>
      <w:r>
        <w:rPr>
          <w:color w:val="auto"/>
        </w:rPr>
        <w:fldChar w:fldCharType="end"/>
      </w:r>
      <w:r>
        <w:rPr>
          <w:rFonts w:ascii="仿宋" w:hAnsi="仿宋" w:eastAsia="仿宋" w:cs="Times New Roman"/>
          <w:color w:val="auto"/>
          <w:kern w:val="0"/>
          <w:szCs w:val="24"/>
          <w:lang w:val="en-US" w:eastAsia="zh-CN" w:bidi="ar-SA"/>
        </w:rPr>
        <w:fldChar w:fldCharType="end"/>
      </w:r>
    </w:p>
    <w:p>
      <w:pPr>
        <w:pStyle w:val="28"/>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_Toc1678251272 </w:instrText>
      </w:r>
      <w:r>
        <w:rPr>
          <w:rFonts w:ascii="仿宋" w:hAnsi="仿宋" w:eastAsia="仿宋" w:cs="Times New Roman"/>
          <w:color w:val="auto"/>
          <w:kern w:val="0"/>
          <w:szCs w:val="24"/>
          <w:lang w:val="en-US" w:eastAsia="zh-CN" w:bidi="ar-SA"/>
        </w:rPr>
        <w:fldChar w:fldCharType="separate"/>
      </w:r>
      <w:r>
        <w:rPr>
          <w:rFonts w:hint="eastAsia"/>
          <w:color w:val="auto"/>
        </w:rPr>
        <w:t>第二节 强化老有可依的权益保障落实</w:t>
      </w:r>
      <w:r>
        <w:rPr>
          <w:color w:val="auto"/>
        </w:rPr>
        <w:tab/>
      </w:r>
      <w:r>
        <w:rPr>
          <w:color w:val="auto"/>
        </w:rPr>
        <w:fldChar w:fldCharType="begin"/>
      </w:r>
      <w:r>
        <w:rPr>
          <w:color w:val="auto"/>
        </w:rPr>
        <w:instrText xml:space="preserve"> PAGEREF _Toc1678251272 </w:instrText>
      </w:r>
      <w:r>
        <w:rPr>
          <w:color w:val="auto"/>
        </w:rPr>
        <w:fldChar w:fldCharType="separate"/>
      </w:r>
      <w:r>
        <w:rPr>
          <w:color w:val="auto"/>
        </w:rPr>
        <w:t>14</w:t>
      </w:r>
      <w:r>
        <w:rPr>
          <w:color w:val="auto"/>
        </w:rPr>
        <w:fldChar w:fldCharType="end"/>
      </w:r>
      <w:r>
        <w:rPr>
          <w:rFonts w:ascii="仿宋" w:hAnsi="仿宋" w:eastAsia="仿宋" w:cs="Times New Roman"/>
          <w:color w:val="auto"/>
          <w:kern w:val="0"/>
          <w:szCs w:val="24"/>
          <w:lang w:val="en-US" w:eastAsia="zh-CN" w:bidi="ar-SA"/>
        </w:rPr>
        <w:fldChar w:fldCharType="end"/>
      </w:r>
    </w:p>
    <w:p>
      <w:pPr>
        <w:pStyle w:val="28"/>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_Toc2037167237 </w:instrText>
      </w:r>
      <w:r>
        <w:rPr>
          <w:rFonts w:ascii="仿宋" w:hAnsi="仿宋" w:eastAsia="仿宋" w:cs="Times New Roman"/>
          <w:color w:val="auto"/>
          <w:kern w:val="0"/>
          <w:szCs w:val="24"/>
          <w:lang w:val="en-US" w:eastAsia="zh-CN" w:bidi="ar-SA"/>
        </w:rPr>
        <w:fldChar w:fldCharType="separate"/>
      </w:r>
      <w:r>
        <w:rPr>
          <w:rFonts w:hint="eastAsia"/>
          <w:color w:val="auto"/>
        </w:rPr>
        <w:t>第三节 健全医养康养相结合的养老服务体系</w:t>
      </w:r>
      <w:r>
        <w:rPr>
          <w:color w:val="auto"/>
        </w:rPr>
        <w:tab/>
      </w:r>
      <w:r>
        <w:rPr>
          <w:color w:val="auto"/>
        </w:rPr>
        <w:fldChar w:fldCharType="begin"/>
      </w:r>
      <w:r>
        <w:rPr>
          <w:color w:val="auto"/>
        </w:rPr>
        <w:instrText xml:space="preserve"> PAGEREF _Toc2037167237 </w:instrText>
      </w:r>
      <w:r>
        <w:rPr>
          <w:color w:val="auto"/>
        </w:rPr>
        <w:fldChar w:fldCharType="separate"/>
      </w:r>
      <w:r>
        <w:rPr>
          <w:color w:val="auto"/>
        </w:rPr>
        <w:t>16</w:t>
      </w:r>
      <w:r>
        <w:rPr>
          <w:color w:val="auto"/>
        </w:rPr>
        <w:fldChar w:fldCharType="end"/>
      </w:r>
      <w:r>
        <w:rPr>
          <w:rFonts w:ascii="仿宋" w:hAnsi="仿宋" w:eastAsia="仿宋" w:cs="Times New Roman"/>
          <w:color w:val="auto"/>
          <w:kern w:val="0"/>
          <w:szCs w:val="24"/>
          <w:lang w:val="en-US" w:eastAsia="zh-CN" w:bidi="ar-SA"/>
        </w:rPr>
        <w:fldChar w:fldCharType="end"/>
      </w:r>
    </w:p>
    <w:p>
      <w:pPr>
        <w:pStyle w:val="28"/>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_Toc1388083571 </w:instrText>
      </w:r>
      <w:r>
        <w:rPr>
          <w:rFonts w:ascii="仿宋" w:hAnsi="仿宋" w:eastAsia="仿宋" w:cs="Times New Roman"/>
          <w:color w:val="auto"/>
          <w:kern w:val="0"/>
          <w:szCs w:val="24"/>
          <w:lang w:val="en-US" w:eastAsia="zh-CN" w:bidi="ar-SA"/>
        </w:rPr>
        <w:fldChar w:fldCharType="separate"/>
      </w:r>
      <w:r>
        <w:rPr>
          <w:rFonts w:hint="eastAsia"/>
          <w:color w:val="auto"/>
        </w:rPr>
        <w:t>第四节 改善适应老龄化形势的劳动力供给</w:t>
      </w:r>
      <w:r>
        <w:rPr>
          <w:color w:val="auto"/>
        </w:rPr>
        <w:tab/>
      </w:r>
      <w:r>
        <w:rPr>
          <w:color w:val="auto"/>
        </w:rPr>
        <w:fldChar w:fldCharType="begin"/>
      </w:r>
      <w:r>
        <w:rPr>
          <w:color w:val="auto"/>
        </w:rPr>
        <w:instrText xml:space="preserve"> PAGEREF _Toc1388083571 </w:instrText>
      </w:r>
      <w:r>
        <w:rPr>
          <w:color w:val="auto"/>
        </w:rPr>
        <w:fldChar w:fldCharType="separate"/>
      </w:r>
      <w:r>
        <w:rPr>
          <w:color w:val="auto"/>
        </w:rPr>
        <w:t>17</w:t>
      </w:r>
      <w:r>
        <w:rPr>
          <w:color w:val="auto"/>
        </w:rPr>
        <w:fldChar w:fldCharType="end"/>
      </w:r>
      <w:r>
        <w:rPr>
          <w:rFonts w:ascii="仿宋" w:hAnsi="仿宋" w:eastAsia="仿宋" w:cs="Times New Roman"/>
          <w:color w:val="auto"/>
          <w:kern w:val="0"/>
          <w:szCs w:val="24"/>
          <w:lang w:val="en-US" w:eastAsia="zh-CN" w:bidi="ar-SA"/>
        </w:rPr>
        <w:fldChar w:fldCharType="end"/>
      </w:r>
    </w:p>
    <w:p>
      <w:pPr>
        <w:pStyle w:val="28"/>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_Toc583809614 </w:instrText>
      </w:r>
      <w:r>
        <w:rPr>
          <w:rFonts w:ascii="仿宋" w:hAnsi="仿宋" w:eastAsia="仿宋" w:cs="Times New Roman"/>
          <w:color w:val="auto"/>
          <w:kern w:val="0"/>
          <w:szCs w:val="24"/>
          <w:lang w:val="en-US" w:eastAsia="zh-CN" w:bidi="ar-SA"/>
        </w:rPr>
        <w:fldChar w:fldCharType="separate"/>
      </w:r>
      <w:r>
        <w:rPr>
          <w:rFonts w:hint="eastAsia"/>
          <w:color w:val="auto"/>
        </w:rPr>
        <w:t>第五节 丰富老有所乐的精神文化生活</w:t>
      </w:r>
      <w:r>
        <w:rPr>
          <w:color w:val="auto"/>
        </w:rPr>
        <w:tab/>
      </w:r>
      <w:r>
        <w:rPr>
          <w:color w:val="auto"/>
        </w:rPr>
        <w:fldChar w:fldCharType="begin"/>
      </w:r>
      <w:r>
        <w:rPr>
          <w:color w:val="auto"/>
        </w:rPr>
        <w:instrText xml:space="preserve"> PAGEREF _Toc583809614 </w:instrText>
      </w:r>
      <w:r>
        <w:rPr>
          <w:color w:val="auto"/>
        </w:rPr>
        <w:fldChar w:fldCharType="separate"/>
      </w:r>
      <w:r>
        <w:rPr>
          <w:color w:val="auto"/>
        </w:rPr>
        <w:t>19</w:t>
      </w:r>
      <w:r>
        <w:rPr>
          <w:color w:val="auto"/>
        </w:rPr>
        <w:fldChar w:fldCharType="end"/>
      </w:r>
      <w:r>
        <w:rPr>
          <w:rFonts w:ascii="仿宋" w:hAnsi="仿宋" w:eastAsia="仿宋" w:cs="Times New Roman"/>
          <w:color w:val="auto"/>
          <w:kern w:val="0"/>
          <w:szCs w:val="24"/>
          <w:lang w:val="en-US" w:eastAsia="zh-CN" w:bidi="ar-SA"/>
        </w:rPr>
        <w:fldChar w:fldCharType="end"/>
      </w:r>
    </w:p>
    <w:p>
      <w:pPr>
        <w:pStyle w:val="28"/>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_Toc841196414 </w:instrText>
      </w:r>
      <w:r>
        <w:rPr>
          <w:rFonts w:ascii="仿宋" w:hAnsi="仿宋" w:eastAsia="仿宋" w:cs="Times New Roman"/>
          <w:color w:val="auto"/>
          <w:kern w:val="0"/>
          <w:szCs w:val="24"/>
          <w:lang w:val="en-US" w:eastAsia="zh-CN" w:bidi="ar-SA"/>
        </w:rPr>
        <w:fldChar w:fldCharType="separate"/>
      </w:r>
      <w:r>
        <w:rPr>
          <w:rFonts w:hint="eastAsia"/>
          <w:color w:val="auto"/>
        </w:rPr>
        <w:t>第六节 倡导多元主体共同参与</w:t>
      </w:r>
      <w:r>
        <w:rPr>
          <w:color w:val="auto"/>
        </w:rPr>
        <w:tab/>
      </w:r>
      <w:r>
        <w:rPr>
          <w:color w:val="auto"/>
        </w:rPr>
        <w:fldChar w:fldCharType="begin"/>
      </w:r>
      <w:r>
        <w:rPr>
          <w:color w:val="auto"/>
        </w:rPr>
        <w:instrText xml:space="preserve"> PAGEREF _Toc841196414 </w:instrText>
      </w:r>
      <w:r>
        <w:rPr>
          <w:color w:val="auto"/>
        </w:rPr>
        <w:fldChar w:fldCharType="separate"/>
      </w:r>
      <w:r>
        <w:rPr>
          <w:color w:val="auto"/>
        </w:rPr>
        <w:t>21</w:t>
      </w:r>
      <w:r>
        <w:rPr>
          <w:color w:val="auto"/>
        </w:rPr>
        <w:fldChar w:fldCharType="end"/>
      </w:r>
      <w:r>
        <w:rPr>
          <w:rFonts w:ascii="仿宋" w:hAnsi="仿宋" w:eastAsia="仿宋" w:cs="Times New Roman"/>
          <w:color w:val="auto"/>
          <w:kern w:val="0"/>
          <w:szCs w:val="24"/>
          <w:lang w:val="en-US" w:eastAsia="zh-CN" w:bidi="ar-SA"/>
        </w:rPr>
        <w:fldChar w:fldCharType="end"/>
      </w:r>
    </w:p>
    <w:p>
      <w:pPr>
        <w:pStyle w:val="23"/>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_Toc129176410 </w:instrText>
      </w:r>
      <w:r>
        <w:rPr>
          <w:rFonts w:ascii="仿宋" w:hAnsi="仿宋" w:eastAsia="仿宋" w:cs="Times New Roman"/>
          <w:color w:val="auto"/>
          <w:kern w:val="0"/>
          <w:szCs w:val="24"/>
          <w:lang w:val="en-US" w:eastAsia="zh-CN" w:bidi="ar-SA"/>
        </w:rPr>
        <w:fldChar w:fldCharType="separate"/>
      </w:r>
      <w:r>
        <w:rPr>
          <w:color w:val="auto"/>
        </w:rPr>
        <w:t>第</w:t>
      </w:r>
      <w:r>
        <w:rPr>
          <w:rFonts w:hint="eastAsia"/>
          <w:color w:val="auto"/>
        </w:rPr>
        <w:t>三</w:t>
      </w:r>
      <w:r>
        <w:rPr>
          <w:color w:val="auto"/>
        </w:rPr>
        <w:t>章</w:t>
      </w:r>
      <w:r>
        <w:rPr>
          <w:rFonts w:hint="eastAsia"/>
          <w:color w:val="auto"/>
        </w:rPr>
        <w:t xml:space="preserve"> 完善就近精准养老服务体系</w:t>
      </w:r>
      <w:r>
        <w:rPr>
          <w:color w:val="auto"/>
        </w:rPr>
        <w:tab/>
      </w:r>
      <w:r>
        <w:rPr>
          <w:color w:val="auto"/>
        </w:rPr>
        <w:fldChar w:fldCharType="begin"/>
      </w:r>
      <w:r>
        <w:rPr>
          <w:color w:val="auto"/>
        </w:rPr>
        <w:instrText xml:space="preserve"> PAGEREF _Toc129176410 </w:instrText>
      </w:r>
      <w:r>
        <w:rPr>
          <w:color w:val="auto"/>
        </w:rPr>
        <w:fldChar w:fldCharType="separate"/>
      </w:r>
      <w:r>
        <w:rPr>
          <w:color w:val="auto"/>
        </w:rPr>
        <w:t>23</w:t>
      </w:r>
      <w:r>
        <w:rPr>
          <w:color w:val="auto"/>
        </w:rPr>
        <w:fldChar w:fldCharType="end"/>
      </w:r>
      <w:r>
        <w:rPr>
          <w:rFonts w:ascii="仿宋" w:hAnsi="仿宋" w:eastAsia="仿宋" w:cs="Times New Roman"/>
          <w:color w:val="auto"/>
          <w:kern w:val="0"/>
          <w:szCs w:val="24"/>
          <w:lang w:val="en-US" w:eastAsia="zh-CN" w:bidi="ar-SA"/>
        </w:rPr>
        <w:fldChar w:fldCharType="end"/>
      </w:r>
    </w:p>
    <w:p>
      <w:pPr>
        <w:pStyle w:val="28"/>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_Toc1291882000 </w:instrText>
      </w:r>
      <w:r>
        <w:rPr>
          <w:rFonts w:ascii="仿宋" w:hAnsi="仿宋" w:eastAsia="仿宋" w:cs="Times New Roman"/>
          <w:color w:val="auto"/>
          <w:kern w:val="0"/>
          <w:szCs w:val="24"/>
          <w:lang w:val="en-US" w:eastAsia="zh-CN" w:bidi="ar-SA"/>
        </w:rPr>
        <w:fldChar w:fldCharType="separate"/>
      </w:r>
      <w:r>
        <w:rPr>
          <w:rFonts w:hint="eastAsia"/>
          <w:color w:val="auto"/>
        </w:rPr>
        <w:t>第一节 明确四方责任</w:t>
      </w:r>
      <w:r>
        <w:rPr>
          <w:color w:val="auto"/>
        </w:rPr>
        <w:tab/>
      </w:r>
      <w:r>
        <w:rPr>
          <w:color w:val="auto"/>
        </w:rPr>
        <w:fldChar w:fldCharType="begin"/>
      </w:r>
      <w:r>
        <w:rPr>
          <w:color w:val="auto"/>
        </w:rPr>
        <w:instrText xml:space="preserve"> PAGEREF _Toc1291882000 </w:instrText>
      </w:r>
      <w:r>
        <w:rPr>
          <w:color w:val="auto"/>
        </w:rPr>
        <w:fldChar w:fldCharType="separate"/>
      </w:r>
      <w:r>
        <w:rPr>
          <w:color w:val="auto"/>
        </w:rPr>
        <w:t>23</w:t>
      </w:r>
      <w:r>
        <w:rPr>
          <w:color w:val="auto"/>
        </w:rPr>
        <w:fldChar w:fldCharType="end"/>
      </w:r>
      <w:r>
        <w:rPr>
          <w:rFonts w:ascii="仿宋" w:hAnsi="仿宋" w:eastAsia="仿宋" w:cs="Times New Roman"/>
          <w:color w:val="auto"/>
          <w:kern w:val="0"/>
          <w:szCs w:val="24"/>
          <w:lang w:val="en-US" w:eastAsia="zh-CN" w:bidi="ar-SA"/>
        </w:rPr>
        <w:fldChar w:fldCharType="end"/>
      </w:r>
    </w:p>
    <w:p>
      <w:pPr>
        <w:pStyle w:val="28"/>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_Toc18986162 </w:instrText>
      </w:r>
      <w:r>
        <w:rPr>
          <w:rFonts w:ascii="仿宋" w:hAnsi="仿宋" w:eastAsia="仿宋" w:cs="Times New Roman"/>
          <w:color w:val="auto"/>
          <w:kern w:val="0"/>
          <w:szCs w:val="24"/>
          <w:lang w:val="en-US" w:eastAsia="zh-CN" w:bidi="ar-SA"/>
        </w:rPr>
        <w:fldChar w:fldCharType="separate"/>
      </w:r>
      <w:r>
        <w:rPr>
          <w:rFonts w:hint="eastAsia"/>
          <w:color w:val="auto"/>
        </w:rPr>
        <w:t>第二节 明确四级功能</w:t>
      </w:r>
      <w:r>
        <w:rPr>
          <w:color w:val="auto"/>
        </w:rPr>
        <w:tab/>
      </w:r>
      <w:r>
        <w:rPr>
          <w:color w:val="auto"/>
        </w:rPr>
        <w:fldChar w:fldCharType="begin"/>
      </w:r>
      <w:r>
        <w:rPr>
          <w:color w:val="auto"/>
        </w:rPr>
        <w:instrText xml:space="preserve"> PAGEREF _Toc18986162 </w:instrText>
      </w:r>
      <w:r>
        <w:rPr>
          <w:color w:val="auto"/>
        </w:rPr>
        <w:fldChar w:fldCharType="separate"/>
      </w:r>
      <w:r>
        <w:rPr>
          <w:color w:val="auto"/>
        </w:rPr>
        <w:t>25</w:t>
      </w:r>
      <w:r>
        <w:rPr>
          <w:color w:val="auto"/>
        </w:rPr>
        <w:fldChar w:fldCharType="end"/>
      </w:r>
      <w:r>
        <w:rPr>
          <w:rFonts w:ascii="仿宋" w:hAnsi="仿宋" w:eastAsia="仿宋" w:cs="Times New Roman"/>
          <w:color w:val="auto"/>
          <w:kern w:val="0"/>
          <w:szCs w:val="24"/>
          <w:lang w:val="en-US" w:eastAsia="zh-CN" w:bidi="ar-SA"/>
        </w:rPr>
        <w:fldChar w:fldCharType="end"/>
      </w:r>
    </w:p>
    <w:p>
      <w:pPr>
        <w:pStyle w:val="28"/>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_Toc49397900 </w:instrText>
      </w:r>
      <w:r>
        <w:rPr>
          <w:rFonts w:ascii="仿宋" w:hAnsi="仿宋" w:eastAsia="仿宋" w:cs="Times New Roman"/>
          <w:color w:val="auto"/>
          <w:kern w:val="0"/>
          <w:szCs w:val="24"/>
          <w:lang w:val="en-US" w:eastAsia="zh-CN" w:bidi="ar-SA"/>
        </w:rPr>
        <w:fldChar w:fldCharType="separate"/>
      </w:r>
      <w:r>
        <w:rPr>
          <w:rFonts w:hint="eastAsia"/>
          <w:color w:val="auto"/>
        </w:rPr>
        <w:t>第三节 明确就近原则</w:t>
      </w:r>
      <w:r>
        <w:rPr>
          <w:color w:val="auto"/>
        </w:rPr>
        <w:tab/>
      </w:r>
      <w:r>
        <w:rPr>
          <w:color w:val="auto"/>
        </w:rPr>
        <w:fldChar w:fldCharType="begin"/>
      </w:r>
      <w:r>
        <w:rPr>
          <w:color w:val="auto"/>
        </w:rPr>
        <w:instrText xml:space="preserve"> PAGEREF _Toc49397900 </w:instrText>
      </w:r>
      <w:r>
        <w:rPr>
          <w:color w:val="auto"/>
        </w:rPr>
        <w:fldChar w:fldCharType="separate"/>
      </w:r>
      <w:r>
        <w:rPr>
          <w:color w:val="auto"/>
        </w:rPr>
        <w:t>29</w:t>
      </w:r>
      <w:r>
        <w:rPr>
          <w:color w:val="auto"/>
        </w:rPr>
        <w:fldChar w:fldCharType="end"/>
      </w:r>
      <w:r>
        <w:rPr>
          <w:rFonts w:ascii="仿宋" w:hAnsi="仿宋" w:eastAsia="仿宋" w:cs="Times New Roman"/>
          <w:color w:val="auto"/>
          <w:kern w:val="0"/>
          <w:szCs w:val="24"/>
          <w:lang w:val="en-US" w:eastAsia="zh-CN" w:bidi="ar-SA"/>
        </w:rPr>
        <w:fldChar w:fldCharType="end"/>
      </w:r>
    </w:p>
    <w:p>
      <w:pPr>
        <w:pStyle w:val="28"/>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_Toc211631579 </w:instrText>
      </w:r>
      <w:r>
        <w:rPr>
          <w:rFonts w:ascii="仿宋" w:hAnsi="仿宋" w:eastAsia="仿宋" w:cs="Times New Roman"/>
          <w:color w:val="auto"/>
          <w:kern w:val="0"/>
          <w:szCs w:val="24"/>
          <w:lang w:val="en-US" w:eastAsia="zh-CN" w:bidi="ar-SA"/>
        </w:rPr>
        <w:fldChar w:fldCharType="separate"/>
      </w:r>
      <w:r>
        <w:rPr>
          <w:rFonts w:hint="eastAsia"/>
          <w:color w:val="auto"/>
        </w:rPr>
        <w:t>第四节 提高医养结合能力</w:t>
      </w:r>
      <w:r>
        <w:rPr>
          <w:color w:val="auto"/>
        </w:rPr>
        <w:tab/>
      </w:r>
      <w:r>
        <w:rPr>
          <w:color w:val="auto"/>
        </w:rPr>
        <w:fldChar w:fldCharType="begin"/>
      </w:r>
      <w:r>
        <w:rPr>
          <w:color w:val="auto"/>
        </w:rPr>
        <w:instrText xml:space="preserve"> PAGEREF _Toc211631579 </w:instrText>
      </w:r>
      <w:r>
        <w:rPr>
          <w:color w:val="auto"/>
        </w:rPr>
        <w:fldChar w:fldCharType="separate"/>
      </w:r>
      <w:r>
        <w:rPr>
          <w:color w:val="auto"/>
        </w:rPr>
        <w:t>30</w:t>
      </w:r>
      <w:r>
        <w:rPr>
          <w:color w:val="auto"/>
        </w:rPr>
        <w:fldChar w:fldCharType="end"/>
      </w:r>
      <w:r>
        <w:rPr>
          <w:rFonts w:ascii="仿宋" w:hAnsi="仿宋" w:eastAsia="仿宋" w:cs="Times New Roman"/>
          <w:color w:val="auto"/>
          <w:kern w:val="0"/>
          <w:szCs w:val="24"/>
          <w:lang w:val="en-US" w:eastAsia="zh-CN" w:bidi="ar-SA"/>
        </w:rPr>
        <w:fldChar w:fldCharType="end"/>
      </w:r>
    </w:p>
    <w:p>
      <w:pPr>
        <w:pStyle w:val="28"/>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_Toc916600278 </w:instrText>
      </w:r>
      <w:r>
        <w:rPr>
          <w:rFonts w:ascii="仿宋" w:hAnsi="仿宋" w:eastAsia="仿宋" w:cs="Times New Roman"/>
          <w:color w:val="auto"/>
          <w:kern w:val="0"/>
          <w:szCs w:val="24"/>
          <w:lang w:val="en-US" w:eastAsia="zh-CN" w:bidi="ar-SA"/>
        </w:rPr>
        <w:fldChar w:fldCharType="separate"/>
      </w:r>
      <w:r>
        <w:rPr>
          <w:rFonts w:hint="eastAsia"/>
          <w:color w:val="auto"/>
        </w:rPr>
        <w:t>第五节 完善老残儿一体化体系</w:t>
      </w:r>
      <w:r>
        <w:rPr>
          <w:color w:val="auto"/>
        </w:rPr>
        <w:tab/>
      </w:r>
      <w:r>
        <w:rPr>
          <w:color w:val="auto"/>
        </w:rPr>
        <w:fldChar w:fldCharType="begin"/>
      </w:r>
      <w:r>
        <w:rPr>
          <w:color w:val="auto"/>
        </w:rPr>
        <w:instrText xml:space="preserve"> PAGEREF _Toc916600278 </w:instrText>
      </w:r>
      <w:r>
        <w:rPr>
          <w:color w:val="auto"/>
        </w:rPr>
        <w:fldChar w:fldCharType="separate"/>
      </w:r>
      <w:r>
        <w:rPr>
          <w:color w:val="auto"/>
        </w:rPr>
        <w:t>31</w:t>
      </w:r>
      <w:r>
        <w:rPr>
          <w:color w:val="auto"/>
        </w:rPr>
        <w:fldChar w:fldCharType="end"/>
      </w:r>
      <w:r>
        <w:rPr>
          <w:rFonts w:ascii="仿宋" w:hAnsi="仿宋" w:eastAsia="仿宋" w:cs="Times New Roman"/>
          <w:color w:val="auto"/>
          <w:kern w:val="0"/>
          <w:szCs w:val="24"/>
          <w:lang w:val="en-US" w:eastAsia="zh-CN" w:bidi="ar-SA"/>
        </w:rPr>
        <w:fldChar w:fldCharType="end"/>
      </w:r>
    </w:p>
    <w:p>
      <w:pPr>
        <w:pStyle w:val="23"/>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_Toc1678682933 </w:instrText>
      </w:r>
      <w:r>
        <w:rPr>
          <w:rFonts w:ascii="仿宋" w:hAnsi="仿宋" w:eastAsia="仿宋" w:cs="Times New Roman"/>
          <w:color w:val="auto"/>
          <w:kern w:val="0"/>
          <w:szCs w:val="24"/>
          <w:lang w:val="en-US" w:eastAsia="zh-CN" w:bidi="ar-SA"/>
        </w:rPr>
        <w:fldChar w:fldCharType="separate"/>
      </w:r>
      <w:r>
        <w:rPr>
          <w:rFonts w:hint="eastAsia"/>
          <w:color w:val="auto"/>
        </w:rPr>
        <w:t>第四章 创新养老服务体系结构</w:t>
      </w:r>
      <w:r>
        <w:rPr>
          <w:color w:val="auto"/>
        </w:rPr>
        <w:tab/>
      </w:r>
      <w:r>
        <w:rPr>
          <w:color w:val="auto"/>
        </w:rPr>
        <w:fldChar w:fldCharType="begin"/>
      </w:r>
      <w:r>
        <w:rPr>
          <w:color w:val="auto"/>
        </w:rPr>
        <w:instrText xml:space="preserve"> PAGEREF _Toc1678682933 </w:instrText>
      </w:r>
      <w:r>
        <w:rPr>
          <w:color w:val="auto"/>
        </w:rPr>
        <w:fldChar w:fldCharType="separate"/>
      </w:r>
      <w:r>
        <w:rPr>
          <w:color w:val="auto"/>
        </w:rPr>
        <w:t>33</w:t>
      </w:r>
      <w:r>
        <w:rPr>
          <w:color w:val="auto"/>
        </w:rPr>
        <w:fldChar w:fldCharType="end"/>
      </w:r>
      <w:r>
        <w:rPr>
          <w:rFonts w:ascii="仿宋" w:hAnsi="仿宋" w:eastAsia="仿宋" w:cs="Times New Roman"/>
          <w:color w:val="auto"/>
          <w:kern w:val="0"/>
          <w:szCs w:val="24"/>
          <w:lang w:val="en-US" w:eastAsia="zh-CN" w:bidi="ar-SA"/>
        </w:rPr>
        <w:fldChar w:fldCharType="end"/>
      </w:r>
    </w:p>
    <w:p>
      <w:pPr>
        <w:pStyle w:val="28"/>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_Toc1200289862 </w:instrText>
      </w:r>
      <w:r>
        <w:rPr>
          <w:rFonts w:ascii="仿宋" w:hAnsi="仿宋" w:eastAsia="仿宋" w:cs="Times New Roman"/>
          <w:color w:val="auto"/>
          <w:kern w:val="0"/>
          <w:szCs w:val="24"/>
          <w:lang w:val="en-US" w:eastAsia="zh-CN" w:bidi="ar-SA"/>
        </w:rPr>
        <w:fldChar w:fldCharType="separate"/>
      </w:r>
      <w:r>
        <w:rPr>
          <w:rFonts w:hint="eastAsia"/>
          <w:color w:val="auto"/>
        </w:rPr>
        <w:t>第一节 优化养老服务供给</w:t>
      </w:r>
      <w:r>
        <w:rPr>
          <w:color w:val="auto"/>
        </w:rPr>
        <w:tab/>
      </w:r>
      <w:r>
        <w:rPr>
          <w:color w:val="auto"/>
        </w:rPr>
        <w:fldChar w:fldCharType="begin"/>
      </w:r>
      <w:r>
        <w:rPr>
          <w:color w:val="auto"/>
        </w:rPr>
        <w:instrText xml:space="preserve"> PAGEREF _Toc1200289862 </w:instrText>
      </w:r>
      <w:r>
        <w:rPr>
          <w:color w:val="auto"/>
        </w:rPr>
        <w:fldChar w:fldCharType="separate"/>
      </w:r>
      <w:r>
        <w:rPr>
          <w:color w:val="auto"/>
        </w:rPr>
        <w:t>33</w:t>
      </w:r>
      <w:r>
        <w:rPr>
          <w:color w:val="auto"/>
        </w:rPr>
        <w:fldChar w:fldCharType="end"/>
      </w:r>
      <w:r>
        <w:rPr>
          <w:rFonts w:ascii="仿宋" w:hAnsi="仿宋" w:eastAsia="仿宋" w:cs="Times New Roman"/>
          <w:color w:val="auto"/>
          <w:kern w:val="0"/>
          <w:szCs w:val="24"/>
          <w:lang w:val="en-US" w:eastAsia="zh-CN" w:bidi="ar-SA"/>
        </w:rPr>
        <w:fldChar w:fldCharType="end"/>
      </w:r>
    </w:p>
    <w:p>
      <w:pPr>
        <w:pStyle w:val="28"/>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_Toc1704288798 </w:instrText>
      </w:r>
      <w:r>
        <w:rPr>
          <w:rFonts w:ascii="仿宋" w:hAnsi="仿宋" w:eastAsia="仿宋" w:cs="Times New Roman"/>
          <w:color w:val="auto"/>
          <w:kern w:val="0"/>
          <w:szCs w:val="24"/>
          <w:lang w:val="en-US" w:eastAsia="zh-CN" w:bidi="ar-SA"/>
        </w:rPr>
        <w:fldChar w:fldCharType="separate"/>
      </w:r>
      <w:r>
        <w:rPr>
          <w:rFonts w:hint="eastAsia"/>
          <w:color w:val="auto"/>
        </w:rPr>
        <w:t>第二节 创新养老服务联合体</w:t>
      </w:r>
      <w:r>
        <w:rPr>
          <w:color w:val="auto"/>
        </w:rPr>
        <w:tab/>
      </w:r>
      <w:r>
        <w:rPr>
          <w:color w:val="auto"/>
        </w:rPr>
        <w:fldChar w:fldCharType="begin"/>
      </w:r>
      <w:r>
        <w:rPr>
          <w:color w:val="auto"/>
        </w:rPr>
        <w:instrText xml:space="preserve"> PAGEREF _Toc1704288798 </w:instrText>
      </w:r>
      <w:r>
        <w:rPr>
          <w:color w:val="auto"/>
        </w:rPr>
        <w:fldChar w:fldCharType="separate"/>
      </w:r>
      <w:r>
        <w:rPr>
          <w:color w:val="auto"/>
        </w:rPr>
        <w:t>35</w:t>
      </w:r>
      <w:r>
        <w:rPr>
          <w:color w:val="auto"/>
        </w:rPr>
        <w:fldChar w:fldCharType="end"/>
      </w:r>
      <w:r>
        <w:rPr>
          <w:rFonts w:ascii="仿宋" w:hAnsi="仿宋" w:eastAsia="仿宋" w:cs="Times New Roman"/>
          <w:color w:val="auto"/>
          <w:kern w:val="0"/>
          <w:szCs w:val="24"/>
          <w:lang w:val="en-US" w:eastAsia="zh-CN" w:bidi="ar-SA"/>
        </w:rPr>
        <w:fldChar w:fldCharType="end"/>
      </w:r>
    </w:p>
    <w:p>
      <w:pPr>
        <w:pStyle w:val="23"/>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_Toc942985639 </w:instrText>
      </w:r>
      <w:r>
        <w:rPr>
          <w:rFonts w:ascii="仿宋" w:hAnsi="仿宋" w:eastAsia="仿宋" w:cs="Times New Roman"/>
          <w:color w:val="auto"/>
          <w:kern w:val="0"/>
          <w:szCs w:val="24"/>
          <w:lang w:val="en-US" w:eastAsia="zh-CN" w:bidi="ar-SA"/>
        </w:rPr>
        <w:fldChar w:fldCharType="separate"/>
      </w:r>
      <w:r>
        <w:rPr>
          <w:color w:val="auto"/>
        </w:rPr>
        <w:t>第</w:t>
      </w:r>
      <w:r>
        <w:rPr>
          <w:rFonts w:hint="eastAsia"/>
          <w:color w:val="auto"/>
        </w:rPr>
        <w:t>五</w:t>
      </w:r>
      <w:r>
        <w:rPr>
          <w:color w:val="auto"/>
        </w:rPr>
        <w:t>章</w:t>
      </w:r>
      <w:r>
        <w:rPr>
          <w:rFonts w:hint="eastAsia"/>
          <w:color w:val="auto"/>
        </w:rPr>
        <w:t xml:space="preserve"> </w:t>
      </w:r>
      <w:r>
        <w:rPr>
          <w:color w:val="auto"/>
        </w:rPr>
        <w:t>织密养老服务</w:t>
      </w:r>
      <w:r>
        <w:rPr>
          <w:rFonts w:hint="eastAsia"/>
          <w:color w:val="auto"/>
        </w:rPr>
        <w:t>供给</w:t>
      </w:r>
      <w:r>
        <w:rPr>
          <w:color w:val="auto"/>
        </w:rPr>
        <w:t>网络</w:t>
      </w:r>
      <w:r>
        <w:rPr>
          <w:color w:val="auto"/>
        </w:rPr>
        <w:tab/>
      </w:r>
      <w:r>
        <w:rPr>
          <w:color w:val="auto"/>
        </w:rPr>
        <w:fldChar w:fldCharType="begin"/>
      </w:r>
      <w:r>
        <w:rPr>
          <w:color w:val="auto"/>
        </w:rPr>
        <w:instrText xml:space="preserve"> PAGEREF _Toc942985639 </w:instrText>
      </w:r>
      <w:r>
        <w:rPr>
          <w:color w:val="auto"/>
        </w:rPr>
        <w:fldChar w:fldCharType="separate"/>
      </w:r>
      <w:r>
        <w:rPr>
          <w:color w:val="auto"/>
        </w:rPr>
        <w:t>38</w:t>
      </w:r>
      <w:r>
        <w:rPr>
          <w:color w:val="auto"/>
        </w:rPr>
        <w:fldChar w:fldCharType="end"/>
      </w:r>
      <w:r>
        <w:rPr>
          <w:rFonts w:ascii="仿宋" w:hAnsi="仿宋" w:eastAsia="仿宋" w:cs="Times New Roman"/>
          <w:color w:val="auto"/>
          <w:kern w:val="0"/>
          <w:szCs w:val="24"/>
          <w:lang w:val="en-US" w:eastAsia="zh-CN" w:bidi="ar-SA"/>
        </w:rPr>
        <w:fldChar w:fldCharType="end"/>
      </w:r>
    </w:p>
    <w:p>
      <w:pPr>
        <w:pStyle w:val="28"/>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_Toc1129362538 </w:instrText>
      </w:r>
      <w:r>
        <w:rPr>
          <w:rFonts w:ascii="仿宋" w:hAnsi="仿宋" w:eastAsia="仿宋" w:cs="Times New Roman"/>
          <w:color w:val="auto"/>
          <w:kern w:val="0"/>
          <w:szCs w:val="24"/>
          <w:lang w:val="en-US" w:eastAsia="zh-CN" w:bidi="ar-SA"/>
        </w:rPr>
        <w:fldChar w:fldCharType="separate"/>
      </w:r>
      <w:r>
        <w:rPr>
          <w:rFonts w:hint="eastAsia"/>
          <w:color w:val="auto"/>
        </w:rPr>
        <w:t>第一节 养老服务设施布局基本原则</w:t>
      </w:r>
      <w:r>
        <w:rPr>
          <w:color w:val="auto"/>
        </w:rPr>
        <w:tab/>
      </w:r>
      <w:r>
        <w:rPr>
          <w:color w:val="auto"/>
        </w:rPr>
        <w:fldChar w:fldCharType="begin"/>
      </w:r>
      <w:r>
        <w:rPr>
          <w:color w:val="auto"/>
        </w:rPr>
        <w:instrText xml:space="preserve"> PAGEREF _Toc1129362538 </w:instrText>
      </w:r>
      <w:r>
        <w:rPr>
          <w:color w:val="auto"/>
        </w:rPr>
        <w:fldChar w:fldCharType="separate"/>
      </w:r>
      <w:r>
        <w:rPr>
          <w:color w:val="auto"/>
        </w:rPr>
        <w:t>38</w:t>
      </w:r>
      <w:r>
        <w:rPr>
          <w:color w:val="auto"/>
        </w:rPr>
        <w:fldChar w:fldCharType="end"/>
      </w:r>
      <w:r>
        <w:rPr>
          <w:rFonts w:ascii="仿宋" w:hAnsi="仿宋" w:eastAsia="仿宋" w:cs="Times New Roman"/>
          <w:color w:val="auto"/>
          <w:kern w:val="0"/>
          <w:szCs w:val="24"/>
          <w:lang w:val="en-US" w:eastAsia="zh-CN" w:bidi="ar-SA"/>
        </w:rPr>
        <w:fldChar w:fldCharType="end"/>
      </w:r>
    </w:p>
    <w:p>
      <w:pPr>
        <w:pStyle w:val="28"/>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_Toc707237023 </w:instrText>
      </w:r>
      <w:r>
        <w:rPr>
          <w:rFonts w:ascii="仿宋" w:hAnsi="仿宋" w:eastAsia="仿宋" w:cs="Times New Roman"/>
          <w:color w:val="auto"/>
          <w:kern w:val="0"/>
          <w:szCs w:val="24"/>
          <w:lang w:val="en-US" w:eastAsia="zh-CN" w:bidi="ar-SA"/>
        </w:rPr>
        <w:fldChar w:fldCharType="separate"/>
      </w:r>
      <w:r>
        <w:rPr>
          <w:rFonts w:hint="eastAsia"/>
          <w:color w:val="auto"/>
        </w:rPr>
        <w:t>第二节 明确设施缺口计算方法</w:t>
      </w:r>
      <w:r>
        <w:rPr>
          <w:color w:val="auto"/>
        </w:rPr>
        <w:tab/>
      </w:r>
      <w:r>
        <w:rPr>
          <w:color w:val="auto"/>
        </w:rPr>
        <w:fldChar w:fldCharType="begin"/>
      </w:r>
      <w:r>
        <w:rPr>
          <w:color w:val="auto"/>
        </w:rPr>
        <w:instrText xml:space="preserve"> PAGEREF _Toc707237023 </w:instrText>
      </w:r>
      <w:r>
        <w:rPr>
          <w:color w:val="auto"/>
        </w:rPr>
        <w:fldChar w:fldCharType="separate"/>
      </w:r>
      <w:r>
        <w:rPr>
          <w:color w:val="auto"/>
        </w:rPr>
        <w:t>39</w:t>
      </w:r>
      <w:r>
        <w:rPr>
          <w:color w:val="auto"/>
        </w:rPr>
        <w:fldChar w:fldCharType="end"/>
      </w:r>
      <w:r>
        <w:rPr>
          <w:rFonts w:ascii="仿宋" w:hAnsi="仿宋" w:eastAsia="仿宋" w:cs="Times New Roman"/>
          <w:color w:val="auto"/>
          <w:kern w:val="0"/>
          <w:szCs w:val="24"/>
          <w:lang w:val="en-US" w:eastAsia="zh-CN" w:bidi="ar-SA"/>
        </w:rPr>
        <w:fldChar w:fldCharType="end"/>
      </w:r>
    </w:p>
    <w:p>
      <w:pPr>
        <w:pStyle w:val="28"/>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_Toc344024568 </w:instrText>
      </w:r>
      <w:r>
        <w:rPr>
          <w:rFonts w:ascii="仿宋" w:hAnsi="仿宋" w:eastAsia="仿宋" w:cs="Times New Roman"/>
          <w:color w:val="auto"/>
          <w:kern w:val="0"/>
          <w:szCs w:val="24"/>
          <w:lang w:val="en-US" w:eastAsia="zh-CN" w:bidi="ar-SA"/>
        </w:rPr>
        <w:fldChar w:fldCharType="separate"/>
      </w:r>
      <w:r>
        <w:rPr>
          <w:color w:val="auto"/>
        </w:rPr>
        <w:t>第</w:t>
      </w:r>
      <w:r>
        <w:rPr>
          <w:rFonts w:hint="eastAsia"/>
          <w:color w:val="auto"/>
        </w:rPr>
        <w:t>三节 分区引导空间布局</w:t>
      </w:r>
      <w:r>
        <w:rPr>
          <w:color w:val="auto"/>
        </w:rPr>
        <w:tab/>
      </w:r>
      <w:r>
        <w:rPr>
          <w:color w:val="auto"/>
        </w:rPr>
        <w:fldChar w:fldCharType="begin"/>
      </w:r>
      <w:r>
        <w:rPr>
          <w:color w:val="auto"/>
        </w:rPr>
        <w:instrText xml:space="preserve"> PAGEREF _Toc344024568 </w:instrText>
      </w:r>
      <w:r>
        <w:rPr>
          <w:color w:val="auto"/>
        </w:rPr>
        <w:fldChar w:fldCharType="separate"/>
      </w:r>
      <w:r>
        <w:rPr>
          <w:color w:val="auto"/>
        </w:rPr>
        <w:t>40</w:t>
      </w:r>
      <w:r>
        <w:rPr>
          <w:color w:val="auto"/>
        </w:rPr>
        <w:fldChar w:fldCharType="end"/>
      </w:r>
      <w:r>
        <w:rPr>
          <w:rFonts w:ascii="仿宋" w:hAnsi="仿宋" w:eastAsia="仿宋" w:cs="Times New Roman"/>
          <w:color w:val="auto"/>
          <w:kern w:val="0"/>
          <w:szCs w:val="24"/>
          <w:lang w:val="en-US" w:eastAsia="zh-CN" w:bidi="ar-SA"/>
        </w:rPr>
        <w:fldChar w:fldCharType="end"/>
      </w:r>
    </w:p>
    <w:p>
      <w:pPr>
        <w:pStyle w:val="28"/>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_Toc239411851 </w:instrText>
      </w:r>
      <w:r>
        <w:rPr>
          <w:rFonts w:ascii="仿宋" w:hAnsi="仿宋" w:eastAsia="仿宋" w:cs="Times New Roman"/>
          <w:color w:val="auto"/>
          <w:kern w:val="0"/>
          <w:szCs w:val="24"/>
          <w:lang w:val="en-US" w:eastAsia="zh-CN" w:bidi="ar-SA"/>
        </w:rPr>
        <w:fldChar w:fldCharType="separate"/>
      </w:r>
      <w:r>
        <w:rPr>
          <w:rFonts w:hint="eastAsia"/>
          <w:color w:val="auto"/>
        </w:rPr>
        <w:t>第</w:t>
      </w:r>
      <w:r>
        <w:rPr>
          <w:rFonts w:hint="eastAsia"/>
          <w:color w:val="auto"/>
          <w:lang w:eastAsia="zh-CN"/>
        </w:rPr>
        <w:t>三</w:t>
      </w:r>
      <w:r>
        <w:rPr>
          <w:rFonts w:hint="eastAsia"/>
          <w:color w:val="auto"/>
        </w:rPr>
        <w:t>节 规范设施配置</w:t>
      </w:r>
      <w:r>
        <w:rPr>
          <w:color w:val="auto"/>
        </w:rPr>
        <w:tab/>
      </w:r>
      <w:r>
        <w:rPr>
          <w:color w:val="auto"/>
        </w:rPr>
        <w:fldChar w:fldCharType="begin"/>
      </w:r>
      <w:r>
        <w:rPr>
          <w:color w:val="auto"/>
        </w:rPr>
        <w:instrText xml:space="preserve"> PAGEREF _Toc239411851 </w:instrText>
      </w:r>
      <w:r>
        <w:rPr>
          <w:color w:val="auto"/>
        </w:rPr>
        <w:fldChar w:fldCharType="separate"/>
      </w:r>
      <w:r>
        <w:rPr>
          <w:color w:val="auto"/>
        </w:rPr>
        <w:t>47</w:t>
      </w:r>
      <w:r>
        <w:rPr>
          <w:color w:val="auto"/>
        </w:rPr>
        <w:fldChar w:fldCharType="end"/>
      </w:r>
      <w:r>
        <w:rPr>
          <w:rFonts w:ascii="仿宋" w:hAnsi="仿宋" w:eastAsia="仿宋" w:cs="Times New Roman"/>
          <w:color w:val="auto"/>
          <w:kern w:val="0"/>
          <w:szCs w:val="24"/>
          <w:lang w:val="en-US" w:eastAsia="zh-CN" w:bidi="ar-SA"/>
        </w:rPr>
        <w:fldChar w:fldCharType="end"/>
      </w:r>
    </w:p>
    <w:p>
      <w:pPr>
        <w:pStyle w:val="28"/>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_Toc1921963133 </w:instrText>
      </w:r>
      <w:r>
        <w:rPr>
          <w:rFonts w:ascii="仿宋" w:hAnsi="仿宋" w:eastAsia="仿宋" w:cs="Times New Roman"/>
          <w:color w:val="auto"/>
          <w:kern w:val="0"/>
          <w:szCs w:val="24"/>
          <w:lang w:val="en-US" w:eastAsia="zh-CN" w:bidi="ar-SA"/>
        </w:rPr>
        <w:fldChar w:fldCharType="separate"/>
      </w:r>
      <w:r>
        <w:rPr>
          <w:color w:val="auto"/>
        </w:rPr>
        <w:t>第</w:t>
      </w:r>
      <w:r>
        <w:rPr>
          <w:rFonts w:hint="eastAsia"/>
          <w:color w:val="auto"/>
          <w:lang w:eastAsia="zh-CN"/>
        </w:rPr>
        <w:t>四</w:t>
      </w:r>
      <w:r>
        <w:rPr>
          <w:color w:val="auto"/>
        </w:rPr>
        <w:t>节</w:t>
      </w:r>
      <w:r>
        <w:rPr>
          <w:rFonts w:hint="eastAsia"/>
          <w:color w:val="auto"/>
        </w:rPr>
        <w:t xml:space="preserve"> 养老服务设施补短板行动计划</w:t>
      </w:r>
      <w:r>
        <w:rPr>
          <w:color w:val="auto"/>
        </w:rPr>
        <w:tab/>
      </w:r>
      <w:r>
        <w:rPr>
          <w:color w:val="auto"/>
        </w:rPr>
        <w:fldChar w:fldCharType="begin"/>
      </w:r>
      <w:r>
        <w:rPr>
          <w:color w:val="auto"/>
        </w:rPr>
        <w:instrText xml:space="preserve"> PAGEREF _Toc1921963133 </w:instrText>
      </w:r>
      <w:r>
        <w:rPr>
          <w:color w:val="auto"/>
        </w:rPr>
        <w:fldChar w:fldCharType="separate"/>
      </w:r>
      <w:r>
        <w:rPr>
          <w:color w:val="auto"/>
        </w:rPr>
        <w:t>50</w:t>
      </w:r>
      <w:r>
        <w:rPr>
          <w:color w:val="auto"/>
        </w:rPr>
        <w:fldChar w:fldCharType="end"/>
      </w:r>
      <w:r>
        <w:rPr>
          <w:rFonts w:ascii="仿宋" w:hAnsi="仿宋" w:eastAsia="仿宋" w:cs="Times New Roman"/>
          <w:color w:val="auto"/>
          <w:kern w:val="0"/>
          <w:szCs w:val="24"/>
          <w:lang w:val="en-US" w:eastAsia="zh-CN" w:bidi="ar-SA"/>
        </w:rPr>
        <w:fldChar w:fldCharType="end"/>
      </w:r>
    </w:p>
    <w:p>
      <w:pPr>
        <w:pStyle w:val="23"/>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_Toc221317838 </w:instrText>
      </w:r>
      <w:r>
        <w:rPr>
          <w:rFonts w:ascii="仿宋" w:hAnsi="仿宋" w:eastAsia="仿宋" w:cs="Times New Roman"/>
          <w:color w:val="auto"/>
          <w:kern w:val="0"/>
          <w:szCs w:val="24"/>
          <w:lang w:val="en-US" w:eastAsia="zh-CN" w:bidi="ar-SA"/>
        </w:rPr>
        <w:fldChar w:fldCharType="separate"/>
      </w:r>
      <w:r>
        <w:rPr>
          <w:rFonts w:hint="eastAsia"/>
          <w:color w:val="auto"/>
        </w:rPr>
        <w:t>第六章 培育发展养老服务产业</w:t>
      </w:r>
      <w:r>
        <w:rPr>
          <w:color w:val="auto"/>
        </w:rPr>
        <w:tab/>
      </w:r>
      <w:r>
        <w:rPr>
          <w:color w:val="auto"/>
        </w:rPr>
        <w:fldChar w:fldCharType="begin"/>
      </w:r>
      <w:r>
        <w:rPr>
          <w:color w:val="auto"/>
        </w:rPr>
        <w:instrText xml:space="preserve"> PAGEREF _Toc221317838 </w:instrText>
      </w:r>
      <w:r>
        <w:rPr>
          <w:color w:val="auto"/>
        </w:rPr>
        <w:fldChar w:fldCharType="separate"/>
      </w:r>
      <w:r>
        <w:rPr>
          <w:color w:val="auto"/>
        </w:rPr>
        <w:t>53</w:t>
      </w:r>
      <w:r>
        <w:rPr>
          <w:color w:val="auto"/>
        </w:rPr>
        <w:fldChar w:fldCharType="end"/>
      </w:r>
      <w:r>
        <w:rPr>
          <w:rFonts w:ascii="仿宋" w:hAnsi="仿宋" w:eastAsia="仿宋" w:cs="Times New Roman"/>
          <w:color w:val="auto"/>
          <w:kern w:val="0"/>
          <w:szCs w:val="24"/>
          <w:lang w:val="en-US" w:eastAsia="zh-CN" w:bidi="ar-SA"/>
        </w:rPr>
        <w:fldChar w:fldCharType="end"/>
      </w:r>
    </w:p>
    <w:p>
      <w:pPr>
        <w:pStyle w:val="28"/>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_Toc2022721639 </w:instrText>
      </w:r>
      <w:r>
        <w:rPr>
          <w:rFonts w:ascii="仿宋" w:hAnsi="仿宋" w:eastAsia="仿宋" w:cs="Times New Roman"/>
          <w:color w:val="auto"/>
          <w:kern w:val="0"/>
          <w:szCs w:val="24"/>
          <w:lang w:val="en-US" w:eastAsia="zh-CN" w:bidi="ar-SA"/>
        </w:rPr>
        <w:fldChar w:fldCharType="separate"/>
      </w:r>
      <w:r>
        <w:rPr>
          <w:rFonts w:hint="eastAsia"/>
          <w:color w:val="auto"/>
        </w:rPr>
        <w:t>第一节 全面开放养老服务市场</w:t>
      </w:r>
      <w:r>
        <w:rPr>
          <w:color w:val="auto"/>
        </w:rPr>
        <w:tab/>
      </w:r>
      <w:r>
        <w:rPr>
          <w:color w:val="auto"/>
        </w:rPr>
        <w:fldChar w:fldCharType="begin"/>
      </w:r>
      <w:r>
        <w:rPr>
          <w:color w:val="auto"/>
        </w:rPr>
        <w:instrText xml:space="preserve"> PAGEREF _Toc2022721639 </w:instrText>
      </w:r>
      <w:r>
        <w:rPr>
          <w:color w:val="auto"/>
        </w:rPr>
        <w:fldChar w:fldCharType="separate"/>
      </w:r>
      <w:r>
        <w:rPr>
          <w:color w:val="auto"/>
        </w:rPr>
        <w:t>53</w:t>
      </w:r>
      <w:r>
        <w:rPr>
          <w:color w:val="auto"/>
        </w:rPr>
        <w:fldChar w:fldCharType="end"/>
      </w:r>
      <w:r>
        <w:rPr>
          <w:rFonts w:ascii="仿宋" w:hAnsi="仿宋" w:eastAsia="仿宋" w:cs="Times New Roman"/>
          <w:color w:val="auto"/>
          <w:kern w:val="0"/>
          <w:szCs w:val="24"/>
          <w:lang w:val="en-US" w:eastAsia="zh-CN" w:bidi="ar-SA"/>
        </w:rPr>
        <w:fldChar w:fldCharType="end"/>
      </w:r>
    </w:p>
    <w:p>
      <w:pPr>
        <w:pStyle w:val="28"/>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_Toc1305578704 </w:instrText>
      </w:r>
      <w:r>
        <w:rPr>
          <w:rFonts w:ascii="仿宋" w:hAnsi="仿宋" w:eastAsia="仿宋" w:cs="Times New Roman"/>
          <w:color w:val="auto"/>
          <w:kern w:val="0"/>
          <w:szCs w:val="24"/>
          <w:lang w:val="en-US" w:eastAsia="zh-CN" w:bidi="ar-SA"/>
        </w:rPr>
        <w:fldChar w:fldCharType="separate"/>
      </w:r>
      <w:r>
        <w:rPr>
          <w:rFonts w:hint="eastAsia"/>
          <w:color w:val="auto"/>
        </w:rPr>
        <w:t>第二节 推动智慧养老发展</w:t>
      </w:r>
      <w:r>
        <w:rPr>
          <w:color w:val="auto"/>
        </w:rPr>
        <w:tab/>
      </w:r>
      <w:r>
        <w:rPr>
          <w:color w:val="auto"/>
        </w:rPr>
        <w:fldChar w:fldCharType="begin"/>
      </w:r>
      <w:r>
        <w:rPr>
          <w:color w:val="auto"/>
        </w:rPr>
        <w:instrText xml:space="preserve"> PAGEREF _Toc1305578704 </w:instrText>
      </w:r>
      <w:r>
        <w:rPr>
          <w:color w:val="auto"/>
        </w:rPr>
        <w:fldChar w:fldCharType="separate"/>
      </w:r>
      <w:r>
        <w:rPr>
          <w:color w:val="auto"/>
        </w:rPr>
        <w:t>54</w:t>
      </w:r>
      <w:r>
        <w:rPr>
          <w:color w:val="auto"/>
        </w:rPr>
        <w:fldChar w:fldCharType="end"/>
      </w:r>
      <w:r>
        <w:rPr>
          <w:rFonts w:ascii="仿宋" w:hAnsi="仿宋" w:eastAsia="仿宋" w:cs="Times New Roman"/>
          <w:color w:val="auto"/>
          <w:kern w:val="0"/>
          <w:szCs w:val="24"/>
          <w:lang w:val="en-US" w:eastAsia="zh-CN" w:bidi="ar-SA"/>
        </w:rPr>
        <w:fldChar w:fldCharType="end"/>
      </w:r>
    </w:p>
    <w:p>
      <w:pPr>
        <w:pStyle w:val="28"/>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_Toc1591500362 </w:instrText>
      </w:r>
      <w:r>
        <w:rPr>
          <w:rFonts w:ascii="仿宋" w:hAnsi="仿宋" w:eastAsia="仿宋" w:cs="Times New Roman"/>
          <w:color w:val="auto"/>
          <w:kern w:val="0"/>
          <w:szCs w:val="24"/>
          <w:lang w:val="en-US" w:eastAsia="zh-CN" w:bidi="ar-SA"/>
        </w:rPr>
        <w:fldChar w:fldCharType="separate"/>
      </w:r>
      <w:r>
        <w:rPr>
          <w:rFonts w:hint="eastAsia"/>
          <w:color w:val="auto"/>
        </w:rPr>
        <w:t>第三节 推广老年人康养产业</w:t>
      </w:r>
      <w:r>
        <w:rPr>
          <w:color w:val="auto"/>
        </w:rPr>
        <w:tab/>
      </w:r>
      <w:r>
        <w:rPr>
          <w:color w:val="auto"/>
        </w:rPr>
        <w:fldChar w:fldCharType="begin"/>
      </w:r>
      <w:r>
        <w:rPr>
          <w:color w:val="auto"/>
        </w:rPr>
        <w:instrText xml:space="preserve"> PAGEREF _Toc1591500362 </w:instrText>
      </w:r>
      <w:r>
        <w:rPr>
          <w:color w:val="auto"/>
        </w:rPr>
        <w:fldChar w:fldCharType="separate"/>
      </w:r>
      <w:r>
        <w:rPr>
          <w:color w:val="auto"/>
        </w:rPr>
        <w:t>56</w:t>
      </w:r>
      <w:r>
        <w:rPr>
          <w:color w:val="auto"/>
        </w:rPr>
        <w:fldChar w:fldCharType="end"/>
      </w:r>
      <w:r>
        <w:rPr>
          <w:rFonts w:ascii="仿宋" w:hAnsi="仿宋" w:eastAsia="仿宋" w:cs="Times New Roman"/>
          <w:color w:val="auto"/>
          <w:kern w:val="0"/>
          <w:szCs w:val="24"/>
          <w:lang w:val="en-US" w:eastAsia="zh-CN" w:bidi="ar-SA"/>
        </w:rPr>
        <w:fldChar w:fldCharType="end"/>
      </w:r>
    </w:p>
    <w:p>
      <w:pPr>
        <w:pStyle w:val="28"/>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_Toc719735444 </w:instrText>
      </w:r>
      <w:r>
        <w:rPr>
          <w:rFonts w:ascii="仿宋" w:hAnsi="仿宋" w:eastAsia="仿宋" w:cs="Times New Roman"/>
          <w:color w:val="auto"/>
          <w:kern w:val="0"/>
          <w:szCs w:val="24"/>
          <w:lang w:val="en-US" w:eastAsia="zh-CN" w:bidi="ar-SA"/>
        </w:rPr>
        <w:fldChar w:fldCharType="separate"/>
      </w:r>
      <w:r>
        <w:rPr>
          <w:rFonts w:hint="eastAsia"/>
          <w:color w:val="auto"/>
        </w:rPr>
        <w:t xml:space="preserve">第四节 </w:t>
      </w:r>
      <w:r>
        <w:rPr>
          <w:color w:val="auto"/>
        </w:rPr>
        <w:t>培育养老消费市场促进养老产品升级</w:t>
      </w:r>
      <w:r>
        <w:rPr>
          <w:color w:val="auto"/>
        </w:rPr>
        <w:tab/>
      </w:r>
      <w:r>
        <w:rPr>
          <w:color w:val="auto"/>
        </w:rPr>
        <w:fldChar w:fldCharType="begin"/>
      </w:r>
      <w:r>
        <w:rPr>
          <w:color w:val="auto"/>
        </w:rPr>
        <w:instrText xml:space="preserve"> PAGEREF _Toc719735444 </w:instrText>
      </w:r>
      <w:r>
        <w:rPr>
          <w:color w:val="auto"/>
        </w:rPr>
        <w:fldChar w:fldCharType="separate"/>
      </w:r>
      <w:r>
        <w:rPr>
          <w:color w:val="auto"/>
        </w:rPr>
        <w:t>58</w:t>
      </w:r>
      <w:r>
        <w:rPr>
          <w:color w:val="auto"/>
        </w:rPr>
        <w:fldChar w:fldCharType="end"/>
      </w:r>
      <w:r>
        <w:rPr>
          <w:rFonts w:ascii="仿宋" w:hAnsi="仿宋" w:eastAsia="仿宋" w:cs="Times New Roman"/>
          <w:color w:val="auto"/>
          <w:kern w:val="0"/>
          <w:szCs w:val="24"/>
          <w:lang w:val="en-US" w:eastAsia="zh-CN" w:bidi="ar-SA"/>
        </w:rPr>
        <w:fldChar w:fldCharType="end"/>
      </w:r>
    </w:p>
    <w:p>
      <w:pPr>
        <w:pStyle w:val="23"/>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_Toc1726137078 </w:instrText>
      </w:r>
      <w:r>
        <w:rPr>
          <w:rFonts w:ascii="仿宋" w:hAnsi="仿宋" w:eastAsia="仿宋" w:cs="Times New Roman"/>
          <w:color w:val="auto"/>
          <w:kern w:val="0"/>
          <w:szCs w:val="24"/>
          <w:lang w:val="en-US" w:eastAsia="zh-CN" w:bidi="ar-SA"/>
        </w:rPr>
        <w:fldChar w:fldCharType="separate"/>
      </w:r>
      <w:r>
        <w:rPr>
          <w:color w:val="auto"/>
        </w:rPr>
        <w:t>第</w:t>
      </w:r>
      <w:r>
        <w:rPr>
          <w:rFonts w:hint="eastAsia"/>
          <w:color w:val="auto"/>
        </w:rPr>
        <w:t>七</w:t>
      </w:r>
      <w:r>
        <w:rPr>
          <w:color w:val="auto"/>
        </w:rPr>
        <w:t>章</w:t>
      </w:r>
      <w:r>
        <w:rPr>
          <w:rFonts w:hint="eastAsia"/>
          <w:color w:val="auto"/>
        </w:rPr>
        <w:t xml:space="preserve"> 规划实施</w:t>
      </w:r>
      <w:r>
        <w:rPr>
          <w:color w:val="auto"/>
        </w:rPr>
        <w:tab/>
      </w:r>
      <w:r>
        <w:rPr>
          <w:color w:val="auto"/>
        </w:rPr>
        <w:fldChar w:fldCharType="begin"/>
      </w:r>
      <w:r>
        <w:rPr>
          <w:color w:val="auto"/>
        </w:rPr>
        <w:instrText xml:space="preserve"> PAGEREF _Toc1726137078 </w:instrText>
      </w:r>
      <w:r>
        <w:rPr>
          <w:color w:val="auto"/>
        </w:rPr>
        <w:fldChar w:fldCharType="separate"/>
      </w:r>
      <w:r>
        <w:rPr>
          <w:color w:val="auto"/>
        </w:rPr>
        <w:t>60</w:t>
      </w:r>
      <w:r>
        <w:rPr>
          <w:color w:val="auto"/>
        </w:rPr>
        <w:fldChar w:fldCharType="end"/>
      </w:r>
      <w:r>
        <w:rPr>
          <w:rFonts w:ascii="仿宋" w:hAnsi="仿宋" w:eastAsia="仿宋" w:cs="Times New Roman"/>
          <w:color w:val="auto"/>
          <w:kern w:val="0"/>
          <w:szCs w:val="24"/>
          <w:lang w:val="en-US" w:eastAsia="zh-CN" w:bidi="ar-SA"/>
        </w:rPr>
        <w:fldChar w:fldCharType="end"/>
      </w:r>
    </w:p>
    <w:p>
      <w:pPr>
        <w:pStyle w:val="28"/>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_Toc1286083623 </w:instrText>
      </w:r>
      <w:r>
        <w:rPr>
          <w:rFonts w:ascii="仿宋" w:hAnsi="仿宋" w:eastAsia="仿宋" w:cs="Times New Roman"/>
          <w:color w:val="auto"/>
          <w:kern w:val="0"/>
          <w:szCs w:val="24"/>
          <w:lang w:val="en-US" w:eastAsia="zh-CN" w:bidi="ar-SA"/>
        </w:rPr>
        <w:fldChar w:fldCharType="separate"/>
      </w:r>
      <w:r>
        <w:rPr>
          <w:rFonts w:hint="eastAsia"/>
          <w:color w:val="auto"/>
        </w:rPr>
        <w:t>第一节 加强综合保障</w:t>
      </w:r>
      <w:r>
        <w:rPr>
          <w:color w:val="auto"/>
        </w:rPr>
        <w:tab/>
      </w:r>
      <w:r>
        <w:rPr>
          <w:color w:val="auto"/>
        </w:rPr>
        <w:fldChar w:fldCharType="begin"/>
      </w:r>
      <w:r>
        <w:rPr>
          <w:color w:val="auto"/>
        </w:rPr>
        <w:instrText xml:space="preserve"> PAGEREF _Toc1286083623 </w:instrText>
      </w:r>
      <w:r>
        <w:rPr>
          <w:color w:val="auto"/>
        </w:rPr>
        <w:fldChar w:fldCharType="separate"/>
      </w:r>
      <w:r>
        <w:rPr>
          <w:color w:val="auto"/>
        </w:rPr>
        <w:t>60</w:t>
      </w:r>
      <w:r>
        <w:rPr>
          <w:color w:val="auto"/>
        </w:rPr>
        <w:fldChar w:fldCharType="end"/>
      </w:r>
      <w:r>
        <w:rPr>
          <w:rFonts w:ascii="仿宋" w:hAnsi="仿宋" w:eastAsia="仿宋" w:cs="Times New Roman"/>
          <w:color w:val="auto"/>
          <w:kern w:val="0"/>
          <w:szCs w:val="24"/>
          <w:lang w:val="en-US" w:eastAsia="zh-CN" w:bidi="ar-SA"/>
        </w:rPr>
        <w:fldChar w:fldCharType="end"/>
      </w:r>
    </w:p>
    <w:p>
      <w:pPr>
        <w:pStyle w:val="28"/>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_Toc658536657 </w:instrText>
      </w:r>
      <w:r>
        <w:rPr>
          <w:rFonts w:ascii="仿宋" w:hAnsi="仿宋" w:eastAsia="仿宋" w:cs="Times New Roman"/>
          <w:color w:val="auto"/>
          <w:kern w:val="0"/>
          <w:szCs w:val="24"/>
          <w:lang w:val="en-US" w:eastAsia="zh-CN" w:bidi="ar-SA"/>
        </w:rPr>
        <w:fldChar w:fldCharType="separate"/>
      </w:r>
      <w:r>
        <w:rPr>
          <w:rFonts w:hint="eastAsia"/>
          <w:color w:val="auto"/>
        </w:rPr>
        <w:t>第二节 强化监督管理</w:t>
      </w:r>
      <w:r>
        <w:rPr>
          <w:color w:val="auto"/>
        </w:rPr>
        <w:tab/>
      </w:r>
      <w:r>
        <w:rPr>
          <w:color w:val="auto"/>
        </w:rPr>
        <w:fldChar w:fldCharType="begin"/>
      </w:r>
      <w:r>
        <w:rPr>
          <w:color w:val="auto"/>
        </w:rPr>
        <w:instrText xml:space="preserve"> PAGEREF _Toc658536657 </w:instrText>
      </w:r>
      <w:r>
        <w:rPr>
          <w:color w:val="auto"/>
        </w:rPr>
        <w:fldChar w:fldCharType="separate"/>
      </w:r>
      <w:r>
        <w:rPr>
          <w:color w:val="auto"/>
        </w:rPr>
        <w:t>63</w:t>
      </w:r>
      <w:r>
        <w:rPr>
          <w:color w:val="auto"/>
        </w:rPr>
        <w:fldChar w:fldCharType="end"/>
      </w:r>
      <w:r>
        <w:rPr>
          <w:rFonts w:ascii="仿宋" w:hAnsi="仿宋" w:eastAsia="仿宋" w:cs="Times New Roman"/>
          <w:color w:val="auto"/>
          <w:kern w:val="0"/>
          <w:szCs w:val="24"/>
          <w:lang w:val="en-US" w:eastAsia="zh-CN" w:bidi="ar-SA"/>
        </w:rPr>
        <w:fldChar w:fldCharType="end"/>
      </w:r>
    </w:p>
    <w:p>
      <w:pPr>
        <w:pStyle w:val="28"/>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_Toc1572060672 </w:instrText>
      </w:r>
      <w:r>
        <w:rPr>
          <w:rFonts w:ascii="仿宋" w:hAnsi="仿宋" w:eastAsia="仿宋" w:cs="Times New Roman"/>
          <w:color w:val="auto"/>
          <w:kern w:val="0"/>
          <w:szCs w:val="24"/>
          <w:lang w:val="en-US" w:eastAsia="zh-CN" w:bidi="ar-SA"/>
        </w:rPr>
        <w:fldChar w:fldCharType="separate"/>
      </w:r>
      <w:r>
        <w:rPr>
          <w:rFonts w:hint="eastAsia"/>
          <w:color w:val="auto"/>
        </w:rPr>
        <w:t xml:space="preserve">第三节 </w:t>
      </w:r>
      <w:r>
        <w:rPr>
          <w:color w:val="auto"/>
        </w:rPr>
        <w:t>加强统筹协调</w:t>
      </w:r>
      <w:r>
        <w:rPr>
          <w:color w:val="auto"/>
        </w:rPr>
        <w:tab/>
      </w:r>
      <w:r>
        <w:rPr>
          <w:color w:val="auto"/>
        </w:rPr>
        <w:fldChar w:fldCharType="begin"/>
      </w:r>
      <w:r>
        <w:rPr>
          <w:color w:val="auto"/>
        </w:rPr>
        <w:instrText xml:space="preserve"> PAGEREF _Toc1572060672 </w:instrText>
      </w:r>
      <w:r>
        <w:rPr>
          <w:color w:val="auto"/>
        </w:rPr>
        <w:fldChar w:fldCharType="separate"/>
      </w:r>
      <w:r>
        <w:rPr>
          <w:color w:val="auto"/>
        </w:rPr>
        <w:t>65</w:t>
      </w:r>
      <w:r>
        <w:rPr>
          <w:color w:val="auto"/>
        </w:rPr>
        <w:fldChar w:fldCharType="end"/>
      </w:r>
      <w:r>
        <w:rPr>
          <w:rFonts w:ascii="仿宋" w:hAnsi="仿宋" w:eastAsia="仿宋" w:cs="Times New Roman"/>
          <w:color w:val="auto"/>
          <w:kern w:val="0"/>
          <w:szCs w:val="24"/>
          <w:lang w:val="en-US" w:eastAsia="zh-CN" w:bidi="ar-SA"/>
        </w:rPr>
        <w:fldChar w:fldCharType="end"/>
      </w:r>
    </w:p>
    <w:p>
      <w:pPr>
        <w:pStyle w:val="23"/>
        <w:tabs>
          <w:tab w:val="right" w:leader="dot" w:pos="8306"/>
        </w:tabs>
        <w:rPr>
          <w:color w:val="auto"/>
        </w:rPr>
      </w:pPr>
      <w:r>
        <w:rPr>
          <w:rFonts w:ascii="仿宋" w:hAnsi="仿宋" w:eastAsia="仿宋" w:cs="Times New Roman"/>
          <w:color w:val="auto"/>
          <w:kern w:val="0"/>
          <w:szCs w:val="24"/>
          <w:lang w:val="en-US" w:eastAsia="zh-CN" w:bidi="ar-SA"/>
        </w:rPr>
        <w:fldChar w:fldCharType="begin"/>
      </w:r>
      <w:r>
        <w:rPr>
          <w:rFonts w:ascii="仿宋" w:hAnsi="仿宋" w:eastAsia="仿宋" w:cs="Times New Roman"/>
          <w:color w:val="auto"/>
          <w:kern w:val="0"/>
          <w:szCs w:val="24"/>
          <w:lang w:val="en-US" w:eastAsia="zh-CN" w:bidi="ar-SA"/>
        </w:rPr>
        <w:instrText xml:space="preserve"> HYPERLINK \l _Toc397490993 </w:instrText>
      </w:r>
      <w:r>
        <w:rPr>
          <w:rFonts w:ascii="仿宋" w:hAnsi="仿宋" w:eastAsia="仿宋" w:cs="Times New Roman"/>
          <w:color w:val="auto"/>
          <w:kern w:val="0"/>
          <w:szCs w:val="24"/>
          <w:lang w:val="en-US" w:eastAsia="zh-CN" w:bidi="ar-SA"/>
        </w:rPr>
        <w:fldChar w:fldCharType="separate"/>
      </w:r>
      <w:r>
        <w:rPr>
          <w:rFonts w:hint="eastAsia" w:ascii="华文中宋" w:hAnsi="华文中宋" w:eastAsia="黑体" w:cs="Times New Roman"/>
          <w:bCs/>
          <w:color w:val="auto"/>
          <w:kern w:val="44"/>
          <w:szCs w:val="44"/>
          <w:lang w:val="en-US" w:eastAsia="zh-CN" w:bidi="ar-SA"/>
        </w:rPr>
        <w:t>※</w:t>
      </w:r>
      <w:r>
        <w:rPr>
          <w:rFonts w:hint="eastAsia" w:ascii="黑体" w:hAnsi="黑体" w:eastAsia="黑体" w:cs="Times New Roman"/>
          <w:bCs/>
          <w:color w:val="auto"/>
          <w:kern w:val="44"/>
          <w:szCs w:val="44"/>
          <w:lang w:val="en-US" w:eastAsia="zh-CN" w:bidi="ar-SA"/>
        </w:rPr>
        <w:t>名词概念定义及指标计算依据</w:t>
      </w:r>
      <w:r>
        <w:rPr>
          <w:color w:val="auto"/>
        </w:rPr>
        <w:tab/>
      </w:r>
      <w:r>
        <w:rPr>
          <w:color w:val="auto"/>
        </w:rPr>
        <w:fldChar w:fldCharType="begin"/>
      </w:r>
      <w:r>
        <w:rPr>
          <w:color w:val="auto"/>
        </w:rPr>
        <w:instrText xml:space="preserve"> PAGEREF _Toc397490993 </w:instrText>
      </w:r>
      <w:r>
        <w:rPr>
          <w:color w:val="auto"/>
        </w:rPr>
        <w:fldChar w:fldCharType="separate"/>
      </w:r>
      <w:r>
        <w:rPr>
          <w:color w:val="auto"/>
        </w:rPr>
        <w:t>67</w:t>
      </w:r>
      <w:r>
        <w:rPr>
          <w:color w:val="auto"/>
        </w:rPr>
        <w:fldChar w:fldCharType="end"/>
      </w:r>
      <w:r>
        <w:rPr>
          <w:rFonts w:ascii="仿宋" w:hAnsi="仿宋" w:eastAsia="仿宋" w:cs="Times New Roman"/>
          <w:color w:val="auto"/>
          <w:kern w:val="0"/>
          <w:szCs w:val="24"/>
          <w:lang w:val="en-US" w:eastAsia="zh-CN" w:bidi="ar-SA"/>
        </w:rPr>
        <w:fldChar w:fldCharType="end"/>
      </w:r>
    </w:p>
    <w:p>
      <w:pPr>
        <w:pStyle w:val="28"/>
        <w:tabs>
          <w:tab w:val="right" w:leader="dot" w:pos="8306"/>
        </w:tabs>
        <w:spacing w:line="560" w:lineRule="exact"/>
        <w:ind w:firstLine="440"/>
        <w:rPr>
          <w:rFonts w:eastAsia="仿宋" w:cs="仿宋"/>
          <w:color w:val="auto"/>
          <w:szCs w:val="24"/>
        </w:rPr>
        <w:sectPr>
          <w:footerReference r:id="rId12" w:type="default"/>
          <w:pgSz w:w="11906" w:h="16838"/>
          <w:pgMar w:top="1440" w:right="1800" w:bottom="1440" w:left="1800" w:header="851" w:footer="630" w:gutter="0"/>
          <w:pgNumType w:fmt="upperRoman" w:start="1"/>
          <w:cols w:space="720" w:num="1"/>
          <w:docGrid w:type="lines" w:linePitch="312" w:charSpace="0"/>
        </w:sectPr>
      </w:pPr>
      <w:r>
        <w:rPr>
          <w:rFonts w:ascii="仿宋" w:hAnsi="仿宋" w:eastAsia="仿宋" w:cs="Times New Roman"/>
          <w:color w:val="auto"/>
          <w:kern w:val="0"/>
          <w:szCs w:val="24"/>
          <w:lang w:val="en-US" w:eastAsia="zh-CN" w:bidi="ar-SA"/>
        </w:rPr>
        <w:fldChar w:fldCharType="end"/>
      </w:r>
    </w:p>
    <w:bookmarkEnd w:id="9"/>
    <w:bookmarkEnd w:id="10"/>
    <w:p>
      <w:pPr>
        <w:pStyle w:val="2"/>
        <w:spacing w:after="411" w:line="560" w:lineRule="exact"/>
        <w:rPr>
          <w:color w:val="auto"/>
        </w:rPr>
      </w:pPr>
      <w:bookmarkStart w:id="12" w:name="_Toc15763_WPSOffice_Level1"/>
      <w:bookmarkStart w:id="13" w:name="_Toc15040"/>
      <w:bookmarkStart w:id="14" w:name="_Toc7843"/>
      <w:bookmarkStart w:id="15" w:name="_Toc32512"/>
      <w:bookmarkStart w:id="16" w:name="_Toc2691"/>
      <w:bookmarkStart w:id="17" w:name="_Toc844497453"/>
      <w:bookmarkStart w:id="18" w:name="_Toc32039"/>
      <w:r>
        <w:rPr>
          <w:rFonts w:hint="eastAsia"/>
          <w:color w:val="auto"/>
        </w:rPr>
        <w:t>序 言</w:t>
      </w:r>
      <w:bookmarkEnd w:id="11"/>
      <w:bookmarkEnd w:id="12"/>
      <w:bookmarkEnd w:id="13"/>
      <w:bookmarkEnd w:id="14"/>
      <w:bookmarkEnd w:id="15"/>
      <w:bookmarkEnd w:id="16"/>
      <w:bookmarkEnd w:id="17"/>
      <w:bookmarkEnd w:id="18"/>
      <w:bookmarkStart w:id="19" w:name="_Toc12323_WPSOffice_Level2"/>
      <w:bookmarkStart w:id="20" w:name="_Toc22386_WPSOffice_Level1"/>
    </w:p>
    <w:p>
      <w:pPr>
        <w:spacing w:line="560" w:lineRule="exact"/>
        <w:ind w:firstLine="600"/>
        <w:rPr>
          <w:color w:val="auto"/>
        </w:rPr>
      </w:pPr>
      <w:bookmarkStart w:id="21" w:name="_Hlk38378246"/>
      <w:r>
        <w:rPr>
          <w:rFonts w:hint="eastAsia"/>
          <w:color w:val="auto"/>
        </w:rPr>
        <w:t>以习近平新时代中国特色社会主义思想为指导，</w:t>
      </w:r>
      <w:r>
        <w:rPr>
          <w:color w:val="auto"/>
        </w:rPr>
        <w:t>全面贯彻落实习近平总书记关于</w:t>
      </w:r>
      <w:r>
        <w:rPr>
          <w:rFonts w:hint="eastAsia"/>
          <w:color w:val="auto"/>
        </w:rPr>
        <w:t>北京</w:t>
      </w:r>
      <w:r>
        <w:rPr>
          <w:color w:val="auto"/>
        </w:rPr>
        <w:t>发展的重要指示，</w:t>
      </w:r>
      <w:r>
        <w:rPr>
          <w:rFonts w:hint="eastAsia"/>
          <w:color w:val="auto"/>
        </w:rPr>
        <w:t>深入贯彻党的十九届二中、三中、四中、五中全会精神，落实《中华人民共和国国民经济和社会发展第十四个五年规划和</w:t>
      </w:r>
      <w:r>
        <w:rPr>
          <w:color w:val="auto"/>
        </w:rPr>
        <w:t>2035年远景目标纲要</w:t>
      </w:r>
      <w:r>
        <w:rPr>
          <w:rFonts w:hint="eastAsia"/>
          <w:color w:val="auto"/>
        </w:rPr>
        <w:t>》《国家积极应对人口老龄化中长期规划》《关于推进养老服务发展的意见》（国办发〔</w:t>
      </w:r>
      <w:r>
        <w:rPr>
          <w:color w:val="auto"/>
        </w:rPr>
        <w:t>2019〕5号）等相关文件精神，贯彻《</w:t>
      </w:r>
      <w:bookmarkStart w:id="22" w:name="_Hlk11862352"/>
      <w:r>
        <w:rPr>
          <w:color w:val="auto"/>
        </w:rPr>
        <w:t>北京城市总体规划（201</w:t>
      </w:r>
      <w:r>
        <w:rPr>
          <w:rFonts w:hint="eastAsia"/>
          <w:color w:val="auto"/>
        </w:rPr>
        <w:t>6</w:t>
      </w:r>
      <w:r>
        <w:rPr>
          <w:color w:val="auto"/>
        </w:rPr>
        <w:t>年</w:t>
      </w:r>
      <w:r>
        <w:rPr>
          <w:rFonts w:hint="eastAsia"/>
          <w:color w:val="auto"/>
        </w:rPr>
        <w:t>-</w:t>
      </w:r>
      <w:r>
        <w:rPr>
          <w:color w:val="auto"/>
        </w:rPr>
        <w:t>2035年）</w:t>
      </w:r>
      <w:bookmarkEnd w:id="22"/>
      <w:r>
        <w:rPr>
          <w:color w:val="auto"/>
        </w:rPr>
        <w:t>》(以下简称</w:t>
      </w:r>
      <w:bookmarkStart w:id="23" w:name="_Hlk25571520"/>
      <w:r>
        <w:rPr>
          <w:color w:val="auto"/>
        </w:rPr>
        <w:t>《总体规划》</w:t>
      </w:r>
      <w:bookmarkEnd w:id="23"/>
      <w:r>
        <w:rPr>
          <w:color w:val="auto"/>
        </w:rPr>
        <w:t>)，</w:t>
      </w:r>
      <w:r>
        <w:rPr>
          <w:rFonts w:hint="eastAsia"/>
          <w:color w:val="auto"/>
        </w:rPr>
        <w:t>及时科学综合</w:t>
      </w:r>
      <w:r>
        <w:rPr>
          <w:color w:val="auto"/>
        </w:rPr>
        <w:t>应对人口老龄化，加快构建</w:t>
      </w:r>
      <w:r>
        <w:rPr>
          <w:rFonts w:hint="eastAsia"/>
          <w:color w:val="auto"/>
        </w:rPr>
        <w:t>独具北京特色的大城市养老服务体系</w:t>
      </w:r>
      <w:r>
        <w:rPr>
          <w:color w:val="auto"/>
        </w:rPr>
        <w:t>，开展市级养老服务发展中长期专项规划，</w:t>
      </w:r>
      <w:r>
        <w:rPr>
          <w:rFonts w:hint="eastAsia"/>
          <w:color w:val="auto"/>
        </w:rPr>
        <w:t>北京市民政局会同北京市规划自然资源委员会组织编制了《北京市养老服务专项规划（2021年-2035年）》（下称《规划》）。中民养老规划院与北京城市规划设计研究院为编制</w:t>
      </w:r>
      <w:r>
        <w:rPr>
          <w:color w:val="auto"/>
        </w:rPr>
        <w:t>本规划</w:t>
      </w:r>
      <w:r>
        <w:rPr>
          <w:rFonts w:hint="eastAsia"/>
          <w:color w:val="auto"/>
        </w:rPr>
        <w:t>技术单位。</w:t>
      </w:r>
    </w:p>
    <w:p>
      <w:pPr>
        <w:spacing w:line="560" w:lineRule="exact"/>
        <w:ind w:firstLine="600"/>
        <w:rPr>
          <w:color w:val="auto"/>
        </w:rPr>
      </w:pPr>
      <w:r>
        <w:rPr>
          <w:color w:val="auto"/>
        </w:rPr>
        <w:t>本规划是北京市养老服务发展指引与</w:t>
      </w:r>
      <w:r>
        <w:rPr>
          <w:rFonts w:hint="eastAsia"/>
          <w:color w:val="auto"/>
        </w:rPr>
        <w:t>设施</w:t>
      </w:r>
      <w:r>
        <w:rPr>
          <w:color w:val="auto"/>
        </w:rPr>
        <w:t>空间布局有机融合的</w:t>
      </w:r>
      <w:r>
        <w:rPr>
          <w:rFonts w:hint="eastAsia"/>
          <w:color w:val="auto"/>
        </w:rPr>
        <w:t>专项</w:t>
      </w:r>
      <w:r>
        <w:rPr>
          <w:color w:val="auto"/>
        </w:rPr>
        <w:t>规划，是指导各区编制</w:t>
      </w:r>
      <w:r>
        <w:rPr>
          <w:rFonts w:hint="eastAsia"/>
          <w:color w:val="auto"/>
        </w:rPr>
        <w:t>养老服务</w:t>
      </w:r>
      <w:r>
        <w:rPr>
          <w:color w:val="auto"/>
        </w:rPr>
        <w:t>专项规划和制定</w:t>
      </w:r>
      <w:r>
        <w:rPr>
          <w:rFonts w:hint="eastAsia"/>
          <w:color w:val="auto"/>
        </w:rPr>
        <w:t>养老事业产业</w:t>
      </w:r>
      <w:r>
        <w:rPr>
          <w:color w:val="auto"/>
        </w:rPr>
        <w:t>发展</w:t>
      </w:r>
      <w:r>
        <w:rPr>
          <w:rFonts w:hint="eastAsia"/>
          <w:color w:val="auto"/>
        </w:rPr>
        <w:t>规划及</w:t>
      </w:r>
      <w:r>
        <w:rPr>
          <w:color w:val="auto"/>
        </w:rPr>
        <w:t>计划的重要依据。</w:t>
      </w:r>
    </w:p>
    <w:p>
      <w:pPr>
        <w:spacing w:line="560" w:lineRule="exact"/>
        <w:ind w:firstLine="600"/>
        <w:rPr>
          <w:color w:val="auto"/>
        </w:rPr>
      </w:pPr>
    </w:p>
    <w:p>
      <w:pPr>
        <w:spacing w:line="560" w:lineRule="exact"/>
        <w:ind w:firstLine="600"/>
        <w:rPr>
          <w:color w:val="auto"/>
        </w:rPr>
      </w:pPr>
    </w:p>
    <w:p>
      <w:pPr>
        <w:spacing w:line="560" w:lineRule="exact"/>
        <w:ind w:firstLine="600"/>
        <w:rPr>
          <w:color w:val="auto"/>
        </w:rPr>
      </w:pPr>
    </w:p>
    <w:bookmarkEnd w:id="21"/>
    <w:p>
      <w:pPr>
        <w:pStyle w:val="2"/>
        <w:spacing w:after="411" w:line="560" w:lineRule="exact"/>
        <w:rPr>
          <w:color w:val="auto"/>
        </w:rPr>
      </w:pPr>
      <w:bookmarkStart w:id="24" w:name="_Toc17957"/>
      <w:bookmarkStart w:id="25" w:name="_Toc23981"/>
      <w:bookmarkStart w:id="26" w:name="_Toc26907"/>
      <w:bookmarkStart w:id="27" w:name="_Toc2121"/>
      <w:bookmarkStart w:id="28" w:name="_Toc420558373"/>
      <w:bookmarkStart w:id="29" w:name="_Toc15027"/>
      <w:bookmarkStart w:id="30" w:name="_Toc27935_WPSOffice_Level1"/>
      <w:bookmarkStart w:id="31" w:name="_Toc16327_WPSOffice_Level1"/>
      <w:r>
        <w:rPr>
          <w:rFonts w:hint="eastAsia"/>
          <w:color w:val="auto"/>
        </w:rPr>
        <w:t>总 则</w:t>
      </w:r>
      <w:bookmarkEnd w:id="24"/>
      <w:bookmarkEnd w:id="25"/>
      <w:bookmarkEnd w:id="26"/>
      <w:bookmarkEnd w:id="27"/>
      <w:bookmarkEnd w:id="28"/>
      <w:bookmarkEnd w:id="29"/>
    </w:p>
    <w:p>
      <w:pPr>
        <w:pStyle w:val="4"/>
        <w:spacing w:before="205" w:after="205" w:line="560" w:lineRule="exact"/>
        <w:rPr>
          <w:color w:val="auto"/>
        </w:rPr>
      </w:pPr>
      <w:r>
        <w:rPr>
          <w:rFonts w:hint="eastAsia"/>
          <w:color w:val="auto"/>
        </w:rPr>
        <w:t>第1条 指导思想</w:t>
      </w:r>
    </w:p>
    <w:p>
      <w:pPr>
        <w:spacing w:line="560" w:lineRule="exact"/>
        <w:ind w:firstLine="600"/>
        <w:rPr>
          <w:rStyle w:val="60"/>
          <w:i w:val="0"/>
          <w:iCs w:val="0"/>
          <w:color w:val="auto"/>
        </w:rPr>
      </w:pPr>
      <w:r>
        <w:rPr>
          <w:rStyle w:val="60"/>
          <w:rFonts w:hint="eastAsia"/>
          <w:i w:val="0"/>
          <w:iCs w:val="0"/>
          <w:color w:val="auto"/>
        </w:rPr>
        <w:t>积极应对人口老龄化，</w:t>
      </w:r>
      <w:r>
        <w:rPr>
          <w:rStyle w:val="60"/>
          <w:i w:val="0"/>
          <w:iCs w:val="0"/>
          <w:color w:val="auto"/>
        </w:rPr>
        <w:t>坚持</w:t>
      </w:r>
      <w:r>
        <w:rPr>
          <w:rStyle w:val="60"/>
          <w:rFonts w:hint="eastAsia"/>
          <w:i w:val="0"/>
          <w:iCs w:val="0"/>
          <w:color w:val="auto"/>
        </w:rPr>
        <w:t>以习近平总书记新时代中国特色社会主义思想为指导，深入贯彻党的十九大精神和十九届二中、三中、四中、五中全会精神，推动“十四五”时期高质量发展，立足新发展阶段、贯彻新发展理念、构建新发展格局以及“五位一体”总体布局和“四个全面”战略布局的要求</w:t>
      </w:r>
      <w:r>
        <w:rPr>
          <w:rStyle w:val="60"/>
          <w:i w:val="0"/>
          <w:iCs w:val="0"/>
          <w:color w:val="auto"/>
        </w:rPr>
        <w:t>,坚</w:t>
      </w:r>
      <w:r>
        <w:rPr>
          <w:rStyle w:val="60"/>
          <w:rFonts w:hint="eastAsia"/>
          <w:i w:val="0"/>
          <w:iCs w:val="0"/>
          <w:color w:val="auto"/>
        </w:rPr>
        <w:t>持党委领导，政府负责，</w:t>
      </w:r>
      <w:r>
        <w:rPr>
          <w:rStyle w:val="60"/>
          <w:rFonts w:hint="eastAsia"/>
          <w:i w:val="0"/>
          <w:iCs w:val="0"/>
          <w:color w:val="auto"/>
          <w:lang w:eastAsia="zh-CN"/>
        </w:rPr>
        <w:t>构建</w:t>
      </w:r>
      <w:r>
        <w:rPr>
          <w:rStyle w:val="60"/>
          <w:rFonts w:hint="eastAsia"/>
          <w:i w:val="0"/>
          <w:iCs w:val="0"/>
          <w:color w:val="auto"/>
        </w:rPr>
        <w:t>居家社区机构相协调、医养康养相结合的养老服务体系。</w:t>
      </w:r>
    </w:p>
    <w:p>
      <w:pPr>
        <w:spacing w:line="560" w:lineRule="exact"/>
        <w:ind w:firstLine="600"/>
        <w:rPr>
          <w:rStyle w:val="60"/>
          <w:i w:val="0"/>
          <w:iCs w:val="0"/>
          <w:color w:val="auto"/>
        </w:rPr>
      </w:pPr>
      <w:r>
        <w:rPr>
          <w:rStyle w:val="60"/>
          <w:rFonts w:hint="eastAsia"/>
          <w:i w:val="0"/>
          <w:iCs w:val="0"/>
          <w:color w:val="auto"/>
        </w:rPr>
        <w:t>坚持以人民为中心的发展思想，落实“七有”要求，满足市民“五性”需求，不断增强人民群众的获得感、幸福感、安全感。从北京市养老服务现状出发，保基本</w:t>
      </w:r>
      <w:r>
        <w:rPr>
          <w:rStyle w:val="60"/>
          <w:i w:val="0"/>
          <w:iCs w:val="0"/>
          <w:color w:val="auto"/>
        </w:rPr>
        <w:t>、</w:t>
      </w:r>
      <w:r>
        <w:rPr>
          <w:rStyle w:val="60"/>
          <w:rFonts w:hint="eastAsia"/>
          <w:i w:val="0"/>
          <w:iCs w:val="0"/>
          <w:color w:val="auto"/>
        </w:rPr>
        <w:t>促普惠、强精准</w:t>
      </w:r>
      <w:r>
        <w:rPr>
          <w:rStyle w:val="60"/>
          <w:i w:val="0"/>
          <w:iCs w:val="0"/>
          <w:color w:val="auto"/>
        </w:rPr>
        <w:t>，统筹全市养老服务设施建设与规划</w:t>
      </w:r>
      <w:r>
        <w:rPr>
          <w:rStyle w:val="60"/>
          <w:rFonts w:hint="eastAsia"/>
          <w:i w:val="0"/>
          <w:iCs w:val="0"/>
          <w:color w:val="auto"/>
        </w:rPr>
        <w:t>。</w:t>
      </w:r>
    </w:p>
    <w:p>
      <w:pPr>
        <w:spacing w:line="560" w:lineRule="exact"/>
        <w:ind w:firstLine="600"/>
        <w:rPr>
          <w:rStyle w:val="60"/>
          <w:i w:val="0"/>
          <w:iCs w:val="0"/>
          <w:color w:val="auto"/>
        </w:rPr>
      </w:pPr>
      <w:r>
        <w:rPr>
          <w:rFonts w:hint="eastAsia"/>
          <w:color w:val="auto"/>
        </w:rPr>
        <w:t>坚持“放管服”改革，</w:t>
      </w:r>
      <w:r>
        <w:rPr>
          <w:rStyle w:val="60"/>
          <w:i w:val="0"/>
          <w:iCs w:val="0"/>
          <w:color w:val="auto"/>
        </w:rPr>
        <w:t>全面放开养老服务市场，</w:t>
      </w:r>
      <w:r>
        <w:rPr>
          <w:rStyle w:val="60"/>
          <w:rFonts w:hint="eastAsia"/>
          <w:i w:val="0"/>
          <w:iCs w:val="0"/>
          <w:color w:val="auto"/>
        </w:rPr>
        <w:t>持续优化营商环境，促进养老服务消费，</w:t>
      </w:r>
      <w:r>
        <w:rPr>
          <w:rStyle w:val="60"/>
          <w:i w:val="0"/>
          <w:iCs w:val="0"/>
          <w:color w:val="auto"/>
        </w:rPr>
        <w:t>充分调动</w:t>
      </w:r>
      <w:r>
        <w:rPr>
          <w:rStyle w:val="60"/>
          <w:rFonts w:hint="eastAsia"/>
          <w:i w:val="0"/>
          <w:iCs w:val="0"/>
          <w:color w:val="auto"/>
        </w:rPr>
        <w:t>全</w:t>
      </w:r>
      <w:r>
        <w:rPr>
          <w:rStyle w:val="60"/>
          <w:i w:val="0"/>
          <w:iCs w:val="0"/>
          <w:color w:val="auto"/>
        </w:rPr>
        <w:t>社会</w:t>
      </w:r>
      <w:r>
        <w:rPr>
          <w:rStyle w:val="60"/>
          <w:rFonts w:hint="eastAsia"/>
          <w:i w:val="0"/>
          <w:iCs w:val="0"/>
          <w:color w:val="auto"/>
        </w:rPr>
        <w:t>各方面</w:t>
      </w:r>
      <w:r>
        <w:rPr>
          <w:rStyle w:val="60"/>
          <w:i w:val="0"/>
          <w:iCs w:val="0"/>
          <w:color w:val="auto"/>
        </w:rPr>
        <w:t>力量</w:t>
      </w:r>
      <w:r>
        <w:rPr>
          <w:rStyle w:val="60"/>
          <w:rFonts w:hint="eastAsia"/>
          <w:i w:val="0"/>
          <w:iCs w:val="0"/>
          <w:color w:val="auto"/>
        </w:rPr>
        <w:t>为老年人提供弹性多样的养老服务。</w:t>
      </w:r>
    </w:p>
    <w:p>
      <w:pPr>
        <w:spacing w:line="560" w:lineRule="exact"/>
        <w:ind w:firstLine="600"/>
        <w:rPr>
          <w:rStyle w:val="60"/>
          <w:i w:val="0"/>
          <w:iCs w:val="0"/>
          <w:color w:val="auto"/>
        </w:rPr>
      </w:pPr>
      <w:r>
        <w:rPr>
          <w:rStyle w:val="60"/>
          <w:i w:val="0"/>
          <w:iCs w:val="0"/>
          <w:color w:val="auto"/>
        </w:rPr>
        <w:t>坚持</w:t>
      </w:r>
      <w:r>
        <w:rPr>
          <w:rStyle w:val="60"/>
          <w:rFonts w:hint="eastAsia"/>
          <w:i w:val="0"/>
          <w:iCs w:val="0"/>
          <w:color w:val="auto"/>
        </w:rPr>
        <w:t>以</w:t>
      </w:r>
      <w:r>
        <w:rPr>
          <w:rStyle w:val="60"/>
          <w:i w:val="0"/>
          <w:iCs w:val="0"/>
          <w:color w:val="auto"/>
        </w:rPr>
        <w:t>问题</w:t>
      </w:r>
      <w:r>
        <w:rPr>
          <w:rStyle w:val="60"/>
          <w:rFonts w:hint="eastAsia"/>
          <w:i w:val="0"/>
          <w:iCs w:val="0"/>
          <w:color w:val="auto"/>
        </w:rPr>
        <w:t>为</w:t>
      </w:r>
      <w:r>
        <w:rPr>
          <w:rStyle w:val="60"/>
          <w:i w:val="0"/>
          <w:iCs w:val="0"/>
          <w:color w:val="auto"/>
        </w:rPr>
        <w:t>导向，</w:t>
      </w:r>
      <w:r>
        <w:rPr>
          <w:rStyle w:val="60"/>
          <w:rFonts w:hint="eastAsia"/>
          <w:i w:val="0"/>
          <w:iCs w:val="0"/>
          <w:color w:val="auto"/>
        </w:rPr>
        <w:t>完善适应全面覆盖、城乡统筹且独具北京特色的大城市养老服务体系，</w:t>
      </w:r>
      <w:r>
        <w:rPr>
          <w:rStyle w:val="60"/>
          <w:rFonts w:hint="eastAsia"/>
          <w:i w:val="0"/>
          <w:iCs w:val="0"/>
          <w:color w:val="auto"/>
          <w:lang w:eastAsia="zh-CN"/>
        </w:rPr>
        <w:t>在坚持“</w:t>
      </w:r>
      <w:r>
        <w:rPr>
          <w:rStyle w:val="60"/>
          <w:rFonts w:hint="eastAsia"/>
          <w:i w:val="0"/>
          <w:iCs w:val="0"/>
          <w:color w:val="auto"/>
          <w:lang w:val="en-US" w:eastAsia="zh-CN"/>
        </w:rPr>
        <w:t>9064</w:t>
      </w:r>
      <w:r>
        <w:rPr>
          <w:rStyle w:val="60"/>
          <w:rFonts w:hint="eastAsia"/>
          <w:i w:val="0"/>
          <w:iCs w:val="0"/>
          <w:color w:val="auto"/>
          <w:lang w:eastAsia="zh-CN"/>
        </w:rPr>
        <w:t>”原则的基础上，重点</w:t>
      </w:r>
      <w:r>
        <w:rPr>
          <w:rStyle w:val="60"/>
          <w:rFonts w:hint="eastAsia"/>
          <w:i w:val="0"/>
          <w:iCs w:val="0"/>
          <w:color w:val="auto"/>
        </w:rPr>
        <w:t>让失能失智老年人可就地获得基本养老服务，让中老年人安心可预期，让全社会放心有准备。</w:t>
      </w:r>
    </w:p>
    <w:p>
      <w:pPr>
        <w:spacing w:line="560" w:lineRule="exact"/>
        <w:ind w:firstLine="600"/>
        <w:rPr>
          <w:rStyle w:val="60"/>
          <w:i w:val="0"/>
          <w:iCs w:val="0"/>
          <w:color w:val="auto"/>
        </w:rPr>
      </w:pPr>
      <w:r>
        <w:rPr>
          <w:rStyle w:val="60"/>
          <w:rFonts w:hint="eastAsia"/>
          <w:i w:val="0"/>
          <w:iCs w:val="0"/>
          <w:color w:val="auto"/>
        </w:rPr>
        <w:t>坚持老残儿一体的福利体系设计，开展康复辅助器具产业创新试点，形成包容共济的慈善公益文化，确保老有所养、残弱有所扶。</w:t>
      </w:r>
    </w:p>
    <w:p>
      <w:pPr>
        <w:spacing w:line="560" w:lineRule="exact"/>
        <w:ind w:firstLine="600"/>
        <w:rPr>
          <w:rStyle w:val="60"/>
          <w:i w:val="0"/>
          <w:iCs w:val="0"/>
          <w:color w:val="auto"/>
        </w:rPr>
      </w:pPr>
    </w:p>
    <w:p>
      <w:pPr>
        <w:pStyle w:val="4"/>
        <w:spacing w:before="205" w:after="205" w:line="560" w:lineRule="exact"/>
        <w:rPr>
          <w:color w:val="auto"/>
        </w:rPr>
      </w:pPr>
      <w:bookmarkStart w:id="32" w:name="_Toc32425_WPSOffice_Level2"/>
      <w:bookmarkStart w:id="33" w:name="_Toc11797_WPSOffice_Level2"/>
      <w:bookmarkStart w:id="34" w:name="_Toc23905_WPSOffice_Level2"/>
      <w:r>
        <w:rPr>
          <w:color w:val="auto"/>
        </w:rPr>
        <w:t>第</w:t>
      </w:r>
      <w:r>
        <w:rPr>
          <w:rFonts w:hint="eastAsia"/>
          <w:color w:val="auto"/>
        </w:rPr>
        <w:t>2</w:t>
      </w:r>
      <w:r>
        <w:rPr>
          <w:color w:val="auto"/>
        </w:rPr>
        <w:t>条 规划依据</w:t>
      </w:r>
      <w:bookmarkEnd w:id="32"/>
      <w:bookmarkEnd w:id="33"/>
      <w:bookmarkEnd w:id="34"/>
    </w:p>
    <w:tbl>
      <w:tblPr>
        <w:tblStyle w:val="39"/>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8"/>
        <w:gridCol w:w="8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478" w:type="dxa"/>
            <w:tcBorders>
              <w:tl2br w:val="nil"/>
              <w:tr2bl w:val="nil"/>
            </w:tcBorders>
            <w:tcMar>
              <w:top w:w="15" w:type="dxa"/>
              <w:left w:w="15" w:type="dxa"/>
              <w:right w:w="15" w:type="dxa"/>
            </w:tcMar>
            <w:vAlign w:val="center"/>
          </w:tcPr>
          <w:p>
            <w:pPr>
              <w:pStyle w:val="44"/>
              <w:spacing w:line="560" w:lineRule="exact"/>
              <w:rPr>
                <w:color w:val="auto"/>
              </w:rPr>
            </w:pPr>
            <w:r>
              <w:rPr>
                <w:color w:val="auto"/>
              </w:rPr>
              <w:t>序号</w:t>
            </w:r>
          </w:p>
        </w:tc>
        <w:tc>
          <w:tcPr>
            <w:tcW w:w="8470" w:type="dxa"/>
            <w:tcBorders>
              <w:tl2br w:val="nil"/>
              <w:tr2bl w:val="nil"/>
            </w:tcBorders>
            <w:tcMar>
              <w:top w:w="15" w:type="dxa"/>
              <w:left w:w="15" w:type="dxa"/>
              <w:right w:w="15" w:type="dxa"/>
            </w:tcMar>
            <w:vAlign w:val="center"/>
          </w:tcPr>
          <w:p>
            <w:pPr>
              <w:pStyle w:val="44"/>
              <w:spacing w:line="560" w:lineRule="exact"/>
              <w:rPr>
                <w:rFonts w:ascii="楷体" w:hAnsi="楷体" w:eastAsia="楷体"/>
                <w:color w:val="auto"/>
                <w:sz w:val="24"/>
              </w:rPr>
            </w:pPr>
            <w:r>
              <w:rPr>
                <w:rFonts w:hint="eastAsia" w:ascii="楷体" w:hAnsi="楷体" w:eastAsia="楷体"/>
                <w:color w:val="auto"/>
                <w:sz w:val="24"/>
              </w:rPr>
              <w:t>国家政策</w:t>
            </w:r>
            <w:r>
              <w:rPr>
                <w:rFonts w:ascii="楷体" w:hAnsi="楷体" w:eastAsia="楷体"/>
                <w:color w:val="auto"/>
                <w:sz w:val="24"/>
              </w:rPr>
              <w:t>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478" w:type="dxa"/>
            <w:tcBorders>
              <w:tl2br w:val="nil"/>
              <w:tr2bl w:val="nil"/>
            </w:tcBorders>
            <w:tcMar>
              <w:top w:w="15" w:type="dxa"/>
              <w:left w:w="15" w:type="dxa"/>
              <w:right w:w="15" w:type="dxa"/>
            </w:tcMar>
            <w:vAlign w:val="center"/>
          </w:tcPr>
          <w:p>
            <w:pPr>
              <w:pStyle w:val="44"/>
              <w:spacing w:line="560" w:lineRule="exact"/>
              <w:rPr>
                <w:b w:val="0"/>
                <w:bCs w:val="0"/>
                <w:color w:val="auto"/>
              </w:rPr>
            </w:pPr>
            <w:r>
              <w:rPr>
                <w:b w:val="0"/>
                <w:bCs w:val="0"/>
                <w:color w:val="auto"/>
              </w:rPr>
              <w:t>1</w:t>
            </w:r>
          </w:p>
        </w:tc>
        <w:tc>
          <w:tcPr>
            <w:tcW w:w="8470" w:type="dxa"/>
            <w:tcBorders>
              <w:tl2br w:val="nil"/>
              <w:tr2bl w:val="nil"/>
            </w:tcBorders>
            <w:tcMar>
              <w:top w:w="15" w:type="dxa"/>
              <w:left w:w="15" w:type="dxa"/>
              <w:right w:w="15" w:type="dxa"/>
            </w:tcMar>
            <w:vAlign w:val="center"/>
          </w:tcPr>
          <w:p>
            <w:pPr>
              <w:pStyle w:val="44"/>
              <w:spacing w:line="560" w:lineRule="exact"/>
              <w:jc w:val="left"/>
              <w:rPr>
                <w:b w:val="0"/>
                <w:bCs w:val="0"/>
                <w:color w:val="auto"/>
              </w:rPr>
            </w:pPr>
            <w:r>
              <w:rPr>
                <w:b w:val="0"/>
                <w:bCs w:val="0"/>
                <w:color w:val="auto"/>
              </w:rPr>
              <w:t>《中华人民共和国老年人权益保障法》(</w:t>
            </w:r>
            <w:r>
              <w:rPr>
                <w:rStyle w:val="73"/>
                <w:rFonts w:ascii="仿宋" w:hAnsi="仿宋"/>
                <w:b w:val="0"/>
                <w:bCs w:val="0"/>
                <w:color w:val="auto"/>
                <w:sz w:val="21"/>
                <w:szCs w:val="21"/>
              </w:rPr>
              <w:t>201</w:t>
            </w:r>
            <w:r>
              <w:rPr>
                <w:rStyle w:val="62"/>
                <w:rFonts w:hint="default" w:cs="Times New Roman"/>
                <w:b w:val="0"/>
                <w:bCs w:val="0"/>
                <w:color w:val="auto"/>
                <w:sz w:val="21"/>
                <w:szCs w:val="21"/>
              </w:rPr>
              <w:t>8年修正)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478" w:type="dxa"/>
            <w:tcBorders>
              <w:tl2br w:val="nil"/>
              <w:tr2bl w:val="nil"/>
            </w:tcBorders>
            <w:tcMar>
              <w:top w:w="15" w:type="dxa"/>
              <w:left w:w="15" w:type="dxa"/>
              <w:right w:w="15" w:type="dxa"/>
            </w:tcMar>
            <w:vAlign w:val="center"/>
          </w:tcPr>
          <w:p>
            <w:pPr>
              <w:pStyle w:val="44"/>
              <w:spacing w:line="560" w:lineRule="exact"/>
              <w:rPr>
                <w:b w:val="0"/>
                <w:bCs w:val="0"/>
                <w:color w:val="auto"/>
              </w:rPr>
            </w:pPr>
            <w:r>
              <w:rPr>
                <w:b w:val="0"/>
                <w:bCs w:val="0"/>
                <w:color w:val="auto"/>
              </w:rPr>
              <w:t>2</w:t>
            </w:r>
          </w:p>
        </w:tc>
        <w:tc>
          <w:tcPr>
            <w:tcW w:w="8470" w:type="dxa"/>
            <w:tcBorders>
              <w:tl2br w:val="nil"/>
              <w:tr2bl w:val="nil"/>
            </w:tcBorders>
            <w:tcMar>
              <w:top w:w="15" w:type="dxa"/>
              <w:left w:w="15" w:type="dxa"/>
              <w:right w:w="15" w:type="dxa"/>
            </w:tcMar>
            <w:vAlign w:val="center"/>
          </w:tcPr>
          <w:p>
            <w:pPr>
              <w:pStyle w:val="44"/>
              <w:spacing w:line="560" w:lineRule="exact"/>
              <w:jc w:val="left"/>
              <w:rPr>
                <w:b w:val="0"/>
                <w:bCs w:val="0"/>
                <w:color w:val="auto"/>
              </w:rPr>
            </w:pPr>
            <w:r>
              <w:rPr>
                <w:b w:val="0"/>
                <w:bCs w:val="0"/>
                <w:color w:val="auto"/>
              </w:rPr>
              <w:t>《中华人民共和国城乡规划法》(</w:t>
            </w:r>
            <w:r>
              <w:rPr>
                <w:rStyle w:val="73"/>
                <w:rFonts w:ascii="仿宋" w:hAnsi="仿宋"/>
                <w:b w:val="0"/>
                <w:bCs w:val="0"/>
                <w:color w:val="auto"/>
                <w:sz w:val="21"/>
                <w:szCs w:val="21"/>
              </w:rPr>
              <w:t>201</w:t>
            </w:r>
            <w:r>
              <w:rPr>
                <w:rStyle w:val="62"/>
                <w:rFonts w:hint="default" w:cs="Times New Roman"/>
                <w:b w:val="0"/>
                <w:bCs w:val="0"/>
                <w:color w:val="auto"/>
                <w:sz w:val="21"/>
                <w:szCs w:val="21"/>
              </w:rPr>
              <w:t>5年修正)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478" w:type="dxa"/>
            <w:tcBorders>
              <w:tl2br w:val="nil"/>
              <w:tr2bl w:val="nil"/>
            </w:tcBorders>
            <w:tcMar>
              <w:top w:w="15" w:type="dxa"/>
              <w:left w:w="15" w:type="dxa"/>
              <w:right w:w="15" w:type="dxa"/>
            </w:tcMar>
            <w:vAlign w:val="center"/>
          </w:tcPr>
          <w:p>
            <w:pPr>
              <w:pStyle w:val="44"/>
              <w:spacing w:line="560" w:lineRule="exact"/>
              <w:rPr>
                <w:b w:val="0"/>
                <w:bCs w:val="0"/>
                <w:color w:val="auto"/>
              </w:rPr>
            </w:pPr>
            <w:r>
              <w:rPr>
                <w:rFonts w:hint="eastAsia"/>
                <w:b w:val="0"/>
                <w:bCs w:val="0"/>
                <w:color w:val="auto"/>
              </w:rPr>
              <w:t>3</w:t>
            </w:r>
          </w:p>
        </w:tc>
        <w:tc>
          <w:tcPr>
            <w:tcW w:w="8470" w:type="dxa"/>
            <w:tcBorders>
              <w:tl2br w:val="nil"/>
              <w:tr2bl w:val="nil"/>
            </w:tcBorders>
            <w:tcMar>
              <w:top w:w="15" w:type="dxa"/>
              <w:left w:w="15" w:type="dxa"/>
              <w:right w:w="15" w:type="dxa"/>
            </w:tcMar>
            <w:vAlign w:val="center"/>
          </w:tcPr>
          <w:p>
            <w:pPr>
              <w:pStyle w:val="44"/>
              <w:spacing w:line="560" w:lineRule="exact"/>
              <w:jc w:val="left"/>
              <w:rPr>
                <w:b w:val="0"/>
                <w:bCs w:val="0"/>
                <w:color w:val="auto"/>
              </w:rPr>
            </w:pPr>
            <w:r>
              <w:rPr>
                <w:b w:val="0"/>
                <w:bCs w:val="0"/>
                <w:color w:val="auto"/>
              </w:rPr>
              <w:t>《养老机构管理办法》(民政部令第</w:t>
            </w:r>
            <w:r>
              <w:rPr>
                <w:rFonts w:hint="eastAsia"/>
                <w:b w:val="0"/>
                <w:bCs w:val="0"/>
                <w:color w:val="auto"/>
                <w:lang w:val="en-US" w:eastAsia="zh-CN"/>
              </w:rPr>
              <w:t>66</w:t>
            </w:r>
            <w:r>
              <w:rPr>
                <w:rStyle w:val="62"/>
                <w:rFonts w:hint="default" w:cs="Times New Roman"/>
                <w:b w:val="0"/>
                <w:bCs w:val="0"/>
                <w:color w:val="auto"/>
                <w:sz w:val="21"/>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478" w:type="dxa"/>
            <w:tcBorders>
              <w:tl2br w:val="nil"/>
              <w:tr2bl w:val="nil"/>
            </w:tcBorders>
            <w:tcMar>
              <w:top w:w="15" w:type="dxa"/>
              <w:left w:w="15" w:type="dxa"/>
              <w:right w:w="15" w:type="dxa"/>
            </w:tcMar>
            <w:vAlign w:val="center"/>
          </w:tcPr>
          <w:p>
            <w:pPr>
              <w:pStyle w:val="44"/>
              <w:spacing w:line="560" w:lineRule="exact"/>
              <w:rPr>
                <w:b w:val="0"/>
                <w:bCs w:val="0"/>
                <w:color w:val="auto"/>
              </w:rPr>
            </w:pPr>
            <w:r>
              <w:rPr>
                <w:rFonts w:hint="eastAsia"/>
                <w:b w:val="0"/>
                <w:bCs w:val="0"/>
                <w:color w:val="auto"/>
              </w:rPr>
              <w:t>4</w:t>
            </w:r>
          </w:p>
        </w:tc>
        <w:tc>
          <w:tcPr>
            <w:tcW w:w="8470" w:type="dxa"/>
            <w:tcBorders>
              <w:tl2br w:val="nil"/>
              <w:tr2bl w:val="nil"/>
            </w:tcBorders>
            <w:tcMar>
              <w:top w:w="15" w:type="dxa"/>
              <w:left w:w="15" w:type="dxa"/>
              <w:right w:w="15" w:type="dxa"/>
            </w:tcMar>
            <w:vAlign w:val="center"/>
          </w:tcPr>
          <w:p>
            <w:pPr>
              <w:pStyle w:val="44"/>
              <w:spacing w:line="560" w:lineRule="exact"/>
              <w:jc w:val="left"/>
              <w:rPr>
                <w:b w:val="0"/>
                <w:bCs w:val="0"/>
                <w:color w:val="auto"/>
              </w:rPr>
            </w:pPr>
            <w:r>
              <w:rPr>
                <w:b w:val="0"/>
                <w:bCs w:val="0"/>
                <w:color w:val="auto"/>
              </w:rPr>
              <w:t>《</w:t>
            </w:r>
            <w:r>
              <w:rPr>
                <w:rStyle w:val="62"/>
                <w:rFonts w:hint="default" w:cs="Times New Roman"/>
                <w:b w:val="0"/>
                <w:bCs w:val="0"/>
                <w:color w:val="auto"/>
                <w:sz w:val="21"/>
                <w:szCs w:val="21"/>
              </w:rPr>
              <w:t>关于建立国土空间规划体系并监督实施的若干意见》</w:t>
            </w:r>
            <w:r>
              <w:rPr>
                <w:b w:val="0"/>
                <w:bCs w:val="0"/>
                <w:color w:val="auto"/>
              </w:rPr>
              <w:t>(</w:t>
            </w:r>
            <w:r>
              <w:rPr>
                <w:rStyle w:val="62"/>
                <w:rFonts w:hint="default" w:cs="Times New Roman"/>
                <w:b w:val="0"/>
                <w:bCs w:val="0"/>
                <w:color w:val="auto"/>
                <w:sz w:val="21"/>
                <w:szCs w:val="21"/>
              </w:rPr>
              <w:t>中发〔</w:t>
            </w:r>
            <w:r>
              <w:rPr>
                <w:rStyle w:val="73"/>
                <w:rFonts w:ascii="仿宋" w:hAnsi="仿宋"/>
                <w:b w:val="0"/>
                <w:bCs w:val="0"/>
                <w:color w:val="auto"/>
                <w:sz w:val="21"/>
                <w:szCs w:val="21"/>
              </w:rPr>
              <w:t>201</w:t>
            </w:r>
            <w:r>
              <w:rPr>
                <w:rStyle w:val="62"/>
                <w:rFonts w:hint="default" w:cs="Times New Roman"/>
                <w:b w:val="0"/>
                <w:bCs w:val="0"/>
                <w:color w:val="auto"/>
                <w:sz w:val="21"/>
                <w:szCs w:val="21"/>
              </w:rPr>
              <w:t>9〕18号)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478" w:type="dxa"/>
            <w:tcBorders>
              <w:tl2br w:val="nil"/>
              <w:tr2bl w:val="nil"/>
            </w:tcBorders>
            <w:tcMar>
              <w:top w:w="15" w:type="dxa"/>
              <w:left w:w="15" w:type="dxa"/>
              <w:right w:w="15" w:type="dxa"/>
            </w:tcMar>
            <w:vAlign w:val="center"/>
          </w:tcPr>
          <w:p>
            <w:pPr>
              <w:pStyle w:val="44"/>
              <w:spacing w:line="560" w:lineRule="exact"/>
              <w:rPr>
                <w:b w:val="0"/>
                <w:bCs w:val="0"/>
                <w:color w:val="auto"/>
              </w:rPr>
            </w:pPr>
            <w:r>
              <w:rPr>
                <w:rFonts w:hint="eastAsia"/>
                <w:b w:val="0"/>
                <w:bCs w:val="0"/>
                <w:color w:val="auto"/>
              </w:rPr>
              <w:t>5</w:t>
            </w:r>
          </w:p>
        </w:tc>
        <w:tc>
          <w:tcPr>
            <w:tcW w:w="8470" w:type="dxa"/>
            <w:tcBorders>
              <w:tl2br w:val="nil"/>
              <w:tr2bl w:val="nil"/>
            </w:tcBorders>
            <w:tcMar>
              <w:top w:w="15" w:type="dxa"/>
              <w:left w:w="15" w:type="dxa"/>
              <w:right w:w="15" w:type="dxa"/>
            </w:tcMar>
            <w:vAlign w:val="center"/>
          </w:tcPr>
          <w:p>
            <w:pPr>
              <w:pStyle w:val="44"/>
              <w:spacing w:line="560" w:lineRule="exact"/>
              <w:jc w:val="left"/>
              <w:rPr>
                <w:b w:val="0"/>
                <w:bCs w:val="0"/>
                <w:color w:val="auto"/>
              </w:rPr>
            </w:pPr>
            <w:r>
              <w:rPr>
                <w:b w:val="0"/>
                <w:bCs w:val="0"/>
                <w:color w:val="auto"/>
              </w:rPr>
              <w:t>《关于加快发展养老服务业的若干意见》(国发〔</w:t>
            </w:r>
            <w:r>
              <w:rPr>
                <w:rStyle w:val="73"/>
                <w:rFonts w:ascii="仿宋" w:hAnsi="仿宋"/>
                <w:b w:val="0"/>
                <w:bCs w:val="0"/>
                <w:color w:val="auto"/>
                <w:sz w:val="21"/>
                <w:szCs w:val="21"/>
              </w:rPr>
              <w:t>2013</w:t>
            </w:r>
            <w:r>
              <w:rPr>
                <w:rStyle w:val="62"/>
                <w:rFonts w:hint="default" w:cs="Times New Roman"/>
                <w:b w:val="0"/>
                <w:bCs w:val="0"/>
                <w:color w:val="auto"/>
                <w:sz w:val="21"/>
                <w:szCs w:val="21"/>
              </w:rPr>
              <w:t>〕</w:t>
            </w:r>
            <w:r>
              <w:rPr>
                <w:rStyle w:val="73"/>
                <w:rFonts w:ascii="仿宋" w:hAnsi="仿宋"/>
                <w:b w:val="0"/>
                <w:bCs w:val="0"/>
                <w:color w:val="auto"/>
                <w:sz w:val="21"/>
                <w:szCs w:val="21"/>
              </w:rPr>
              <w:t>35</w:t>
            </w:r>
            <w:r>
              <w:rPr>
                <w:rStyle w:val="62"/>
                <w:rFonts w:hint="default" w:cs="Times New Roman"/>
                <w:b w:val="0"/>
                <w:bCs w:val="0"/>
                <w:color w:val="auto"/>
                <w:sz w:val="21"/>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478" w:type="dxa"/>
            <w:tcBorders>
              <w:tl2br w:val="nil"/>
              <w:tr2bl w:val="nil"/>
            </w:tcBorders>
            <w:tcMar>
              <w:top w:w="15" w:type="dxa"/>
              <w:left w:w="15" w:type="dxa"/>
              <w:right w:w="15" w:type="dxa"/>
            </w:tcMar>
            <w:vAlign w:val="center"/>
          </w:tcPr>
          <w:p>
            <w:pPr>
              <w:pStyle w:val="44"/>
              <w:spacing w:line="560" w:lineRule="exact"/>
              <w:rPr>
                <w:b w:val="0"/>
                <w:bCs w:val="0"/>
                <w:color w:val="auto"/>
              </w:rPr>
            </w:pPr>
            <w:r>
              <w:rPr>
                <w:rFonts w:hint="eastAsia"/>
                <w:b w:val="0"/>
                <w:bCs w:val="0"/>
                <w:color w:val="auto"/>
              </w:rPr>
              <w:t>6</w:t>
            </w:r>
          </w:p>
        </w:tc>
        <w:tc>
          <w:tcPr>
            <w:tcW w:w="8470" w:type="dxa"/>
            <w:tcBorders>
              <w:tl2br w:val="nil"/>
              <w:tr2bl w:val="nil"/>
            </w:tcBorders>
            <w:tcMar>
              <w:top w:w="15" w:type="dxa"/>
              <w:left w:w="15" w:type="dxa"/>
              <w:right w:w="15" w:type="dxa"/>
            </w:tcMar>
            <w:vAlign w:val="center"/>
          </w:tcPr>
          <w:p>
            <w:pPr>
              <w:pStyle w:val="44"/>
              <w:spacing w:line="560" w:lineRule="exact"/>
              <w:jc w:val="left"/>
              <w:rPr>
                <w:b w:val="0"/>
                <w:bCs w:val="0"/>
                <w:color w:val="auto"/>
              </w:rPr>
            </w:pPr>
            <w:r>
              <w:rPr>
                <w:b w:val="0"/>
                <w:bCs w:val="0"/>
                <w:color w:val="auto"/>
              </w:rPr>
              <w:t>《关于促进健康服务业发展的若干意见》(国发〔</w:t>
            </w:r>
            <w:r>
              <w:rPr>
                <w:rStyle w:val="73"/>
                <w:rFonts w:ascii="仿宋" w:hAnsi="仿宋"/>
                <w:b w:val="0"/>
                <w:bCs w:val="0"/>
                <w:color w:val="auto"/>
                <w:sz w:val="21"/>
                <w:szCs w:val="21"/>
              </w:rPr>
              <w:t>2013</w:t>
            </w:r>
            <w:r>
              <w:rPr>
                <w:rStyle w:val="62"/>
                <w:rFonts w:hint="default" w:cs="Times New Roman"/>
                <w:b w:val="0"/>
                <w:bCs w:val="0"/>
                <w:color w:val="auto"/>
                <w:sz w:val="21"/>
                <w:szCs w:val="21"/>
              </w:rPr>
              <w:t>〕40号)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478" w:type="dxa"/>
            <w:tcBorders>
              <w:tl2br w:val="nil"/>
              <w:tr2bl w:val="nil"/>
            </w:tcBorders>
            <w:tcMar>
              <w:top w:w="15" w:type="dxa"/>
              <w:left w:w="15" w:type="dxa"/>
              <w:right w:w="15" w:type="dxa"/>
            </w:tcMar>
            <w:vAlign w:val="center"/>
          </w:tcPr>
          <w:p>
            <w:pPr>
              <w:pStyle w:val="44"/>
              <w:spacing w:line="560" w:lineRule="exact"/>
              <w:rPr>
                <w:b w:val="0"/>
                <w:bCs w:val="0"/>
                <w:color w:val="auto"/>
              </w:rPr>
            </w:pPr>
            <w:r>
              <w:rPr>
                <w:rFonts w:hint="eastAsia"/>
                <w:b w:val="0"/>
                <w:bCs w:val="0"/>
                <w:color w:val="auto"/>
              </w:rPr>
              <w:t>7</w:t>
            </w:r>
          </w:p>
        </w:tc>
        <w:tc>
          <w:tcPr>
            <w:tcW w:w="8470" w:type="dxa"/>
            <w:tcBorders>
              <w:tl2br w:val="nil"/>
              <w:tr2bl w:val="nil"/>
            </w:tcBorders>
            <w:tcMar>
              <w:top w:w="15" w:type="dxa"/>
              <w:left w:w="15" w:type="dxa"/>
              <w:right w:w="15" w:type="dxa"/>
            </w:tcMar>
            <w:vAlign w:val="center"/>
          </w:tcPr>
          <w:p>
            <w:pPr>
              <w:pStyle w:val="44"/>
              <w:spacing w:line="560" w:lineRule="exact"/>
              <w:jc w:val="left"/>
              <w:rPr>
                <w:rFonts w:ascii="仿宋" w:hAnsi="仿宋"/>
                <w:b w:val="0"/>
                <w:bCs w:val="0"/>
                <w:color w:val="auto"/>
              </w:rPr>
            </w:pPr>
            <w:r>
              <w:rPr>
                <w:rFonts w:ascii="仿宋" w:hAnsi="仿宋"/>
                <w:b w:val="0"/>
                <w:bCs w:val="0"/>
                <w:color w:val="auto"/>
              </w:rPr>
              <w:t>《关于加快发展康复辅助器具产业的若干意见》(</w:t>
            </w:r>
            <w:r>
              <w:rPr>
                <w:rStyle w:val="62"/>
                <w:rFonts w:hint="default" w:cs="Times New Roman"/>
                <w:b w:val="0"/>
                <w:bCs w:val="0"/>
                <w:color w:val="auto"/>
                <w:sz w:val="21"/>
                <w:szCs w:val="21"/>
              </w:rPr>
              <w:t>国发〔2016〕</w:t>
            </w:r>
            <w:r>
              <w:rPr>
                <w:rStyle w:val="73"/>
                <w:rFonts w:ascii="仿宋" w:hAnsi="仿宋"/>
                <w:b w:val="0"/>
                <w:bCs w:val="0"/>
                <w:color w:val="auto"/>
                <w:sz w:val="21"/>
                <w:szCs w:val="21"/>
              </w:rPr>
              <w:t>60</w:t>
            </w:r>
            <w:r>
              <w:rPr>
                <w:rStyle w:val="62"/>
                <w:rFonts w:hint="default" w:cs="Times New Roman"/>
                <w:b w:val="0"/>
                <w:bCs w:val="0"/>
                <w:color w:val="auto"/>
                <w:sz w:val="21"/>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478" w:type="dxa"/>
            <w:tcBorders>
              <w:tl2br w:val="nil"/>
              <w:tr2bl w:val="nil"/>
            </w:tcBorders>
            <w:tcMar>
              <w:top w:w="15" w:type="dxa"/>
              <w:left w:w="15" w:type="dxa"/>
              <w:right w:w="15" w:type="dxa"/>
            </w:tcMar>
            <w:vAlign w:val="center"/>
          </w:tcPr>
          <w:p>
            <w:pPr>
              <w:pStyle w:val="44"/>
              <w:spacing w:line="560" w:lineRule="exact"/>
              <w:rPr>
                <w:b w:val="0"/>
                <w:bCs w:val="0"/>
                <w:color w:val="auto"/>
              </w:rPr>
            </w:pPr>
            <w:r>
              <w:rPr>
                <w:rFonts w:hint="eastAsia"/>
                <w:b w:val="0"/>
                <w:bCs w:val="0"/>
                <w:color w:val="auto"/>
              </w:rPr>
              <w:t>8</w:t>
            </w:r>
          </w:p>
        </w:tc>
        <w:tc>
          <w:tcPr>
            <w:tcW w:w="8470" w:type="dxa"/>
            <w:tcBorders>
              <w:tl2br w:val="nil"/>
              <w:tr2bl w:val="nil"/>
            </w:tcBorders>
            <w:tcMar>
              <w:top w:w="15" w:type="dxa"/>
              <w:left w:w="15" w:type="dxa"/>
              <w:right w:w="15" w:type="dxa"/>
            </w:tcMar>
            <w:vAlign w:val="center"/>
          </w:tcPr>
          <w:p>
            <w:pPr>
              <w:pStyle w:val="44"/>
              <w:spacing w:line="560" w:lineRule="exact"/>
              <w:jc w:val="left"/>
              <w:rPr>
                <w:rFonts w:ascii="仿宋" w:hAnsi="仿宋"/>
                <w:b w:val="0"/>
                <w:bCs w:val="0"/>
                <w:color w:val="auto"/>
              </w:rPr>
            </w:pPr>
            <w:r>
              <w:rPr>
                <w:rFonts w:ascii="仿宋" w:hAnsi="仿宋"/>
                <w:b w:val="0"/>
                <w:bCs w:val="0"/>
                <w:color w:val="auto"/>
              </w:rPr>
              <w:t>《关于推进养老服务发展的意见》(国办发〔</w:t>
            </w:r>
            <w:r>
              <w:rPr>
                <w:rStyle w:val="62"/>
                <w:rFonts w:hint="default" w:cs="Times New Roman"/>
                <w:b w:val="0"/>
                <w:bCs w:val="0"/>
                <w:color w:val="auto"/>
                <w:sz w:val="21"/>
                <w:szCs w:val="21"/>
              </w:rPr>
              <w:t>2019〕</w:t>
            </w:r>
            <w:r>
              <w:rPr>
                <w:rStyle w:val="73"/>
                <w:rFonts w:ascii="仿宋" w:hAnsi="仿宋"/>
                <w:b w:val="0"/>
                <w:bCs w:val="0"/>
                <w:color w:val="auto"/>
                <w:sz w:val="21"/>
                <w:szCs w:val="21"/>
              </w:rPr>
              <w:t>5</w:t>
            </w:r>
            <w:r>
              <w:rPr>
                <w:rStyle w:val="62"/>
                <w:rFonts w:hint="default" w:cs="Times New Roman"/>
                <w:b w:val="0"/>
                <w:bCs w:val="0"/>
                <w:color w:val="auto"/>
                <w:sz w:val="21"/>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478" w:type="dxa"/>
            <w:tcBorders>
              <w:tl2br w:val="nil"/>
              <w:tr2bl w:val="nil"/>
            </w:tcBorders>
            <w:tcMar>
              <w:top w:w="15" w:type="dxa"/>
              <w:left w:w="15" w:type="dxa"/>
              <w:right w:w="15" w:type="dxa"/>
            </w:tcMar>
            <w:vAlign w:val="center"/>
          </w:tcPr>
          <w:p>
            <w:pPr>
              <w:pStyle w:val="44"/>
              <w:spacing w:line="560" w:lineRule="exact"/>
              <w:rPr>
                <w:b w:val="0"/>
                <w:bCs w:val="0"/>
                <w:color w:val="auto"/>
              </w:rPr>
            </w:pPr>
            <w:r>
              <w:rPr>
                <w:rFonts w:hint="eastAsia"/>
                <w:b w:val="0"/>
                <w:bCs w:val="0"/>
                <w:color w:val="auto"/>
              </w:rPr>
              <w:t>9</w:t>
            </w:r>
          </w:p>
        </w:tc>
        <w:tc>
          <w:tcPr>
            <w:tcW w:w="8470" w:type="dxa"/>
            <w:tcBorders>
              <w:tl2br w:val="nil"/>
              <w:tr2bl w:val="nil"/>
            </w:tcBorders>
            <w:tcMar>
              <w:top w:w="15" w:type="dxa"/>
              <w:left w:w="15" w:type="dxa"/>
              <w:right w:w="15" w:type="dxa"/>
            </w:tcMar>
            <w:vAlign w:val="center"/>
          </w:tcPr>
          <w:p>
            <w:pPr>
              <w:pStyle w:val="44"/>
              <w:spacing w:line="560" w:lineRule="exact"/>
              <w:jc w:val="left"/>
              <w:rPr>
                <w:rFonts w:ascii="仿宋" w:hAnsi="仿宋"/>
                <w:b w:val="0"/>
                <w:bCs w:val="0"/>
                <w:color w:val="auto"/>
              </w:rPr>
            </w:pPr>
            <w:r>
              <w:rPr>
                <w:rFonts w:hint="eastAsia" w:ascii="仿宋" w:hAnsi="仿宋"/>
                <w:b w:val="0"/>
                <w:bCs w:val="0"/>
                <w:color w:val="auto"/>
              </w:rPr>
              <w:t>《关于进一步扩大养老服务供给促进养老服务消费的实施意见》</w:t>
            </w:r>
            <w:r>
              <w:rPr>
                <w:rFonts w:ascii="仿宋" w:hAnsi="仿宋"/>
                <w:b w:val="0"/>
                <w:bCs w:val="0"/>
                <w:color w:val="auto"/>
              </w:rPr>
              <w:t>(</w:t>
            </w:r>
            <w:r>
              <w:rPr>
                <w:rFonts w:hint="eastAsia" w:ascii="仿宋" w:hAnsi="仿宋"/>
                <w:b w:val="0"/>
                <w:bCs w:val="0"/>
                <w:color w:val="auto"/>
              </w:rPr>
              <w:t>民发〔</w:t>
            </w:r>
            <w:r>
              <w:rPr>
                <w:rFonts w:ascii="仿宋" w:hAnsi="仿宋"/>
                <w:b w:val="0"/>
                <w:bCs w:val="0"/>
                <w:color w:val="auto"/>
              </w:rPr>
              <w:t>2019〕88 号</w:t>
            </w:r>
            <w:r>
              <w:rPr>
                <w:rStyle w:val="62"/>
                <w:rFonts w:hint="default" w:cs="Times New Roman"/>
                <w:b w:val="0"/>
                <w:bCs w:val="0"/>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478" w:type="dxa"/>
            <w:tcBorders>
              <w:tl2br w:val="nil"/>
              <w:tr2bl w:val="nil"/>
            </w:tcBorders>
            <w:tcMar>
              <w:top w:w="15" w:type="dxa"/>
              <w:left w:w="15" w:type="dxa"/>
              <w:right w:w="15" w:type="dxa"/>
            </w:tcMar>
            <w:vAlign w:val="center"/>
          </w:tcPr>
          <w:p>
            <w:pPr>
              <w:pStyle w:val="44"/>
              <w:spacing w:line="560" w:lineRule="exact"/>
              <w:rPr>
                <w:b w:val="0"/>
                <w:bCs w:val="0"/>
                <w:color w:val="auto"/>
              </w:rPr>
            </w:pPr>
            <w:r>
              <w:rPr>
                <w:rFonts w:hint="eastAsia"/>
                <w:b w:val="0"/>
                <w:bCs w:val="0"/>
                <w:color w:val="auto"/>
              </w:rPr>
              <w:t>10</w:t>
            </w:r>
          </w:p>
        </w:tc>
        <w:tc>
          <w:tcPr>
            <w:tcW w:w="8470" w:type="dxa"/>
            <w:tcBorders>
              <w:tl2br w:val="nil"/>
              <w:tr2bl w:val="nil"/>
            </w:tcBorders>
            <w:tcMar>
              <w:top w:w="15" w:type="dxa"/>
              <w:left w:w="15" w:type="dxa"/>
              <w:right w:w="15" w:type="dxa"/>
            </w:tcMar>
            <w:vAlign w:val="center"/>
          </w:tcPr>
          <w:p>
            <w:pPr>
              <w:pStyle w:val="44"/>
              <w:spacing w:line="560" w:lineRule="exact"/>
              <w:jc w:val="both"/>
              <w:rPr>
                <w:rFonts w:ascii="仿宋" w:hAnsi="仿宋"/>
                <w:b w:val="0"/>
                <w:bCs w:val="0"/>
                <w:color w:val="auto"/>
              </w:rPr>
            </w:pPr>
            <w:r>
              <w:rPr>
                <w:rFonts w:ascii="仿宋" w:hAnsi="仿宋"/>
                <w:b w:val="0"/>
                <w:bCs w:val="0"/>
                <w:color w:val="auto"/>
              </w:rPr>
              <w:t>《</w:t>
            </w:r>
            <w:r>
              <w:rPr>
                <w:rFonts w:hint="eastAsia" w:ascii="仿宋" w:hAnsi="仿宋"/>
                <w:b w:val="0"/>
                <w:bCs w:val="0"/>
                <w:color w:val="auto"/>
              </w:rPr>
              <w:t>关于加强规划和用地保障支持养老服务发展的指导意见》（自然资规〔</w:t>
            </w:r>
            <w:r>
              <w:rPr>
                <w:rFonts w:ascii="仿宋" w:hAnsi="仿宋"/>
                <w:b w:val="0"/>
                <w:bCs w:val="0"/>
                <w:color w:val="auto"/>
              </w:rPr>
              <w:t>2019〕3号</w:t>
            </w:r>
            <w:r>
              <w:rPr>
                <w:rFonts w:hint="eastAsia" w:ascii="仿宋" w:hAnsi="仿宋"/>
                <w:b w:val="0"/>
                <w:bCs w:val="0"/>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8948" w:type="dxa"/>
            <w:gridSpan w:val="2"/>
            <w:tcBorders>
              <w:tl2br w:val="nil"/>
              <w:tr2bl w:val="nil"/>
            </w:tcBorders>
            <w:tcMar>
              <w:top w:w="15" w:type="dxa"/>
              <w:left w:w="15" w:type="dxa"/>
              <w:right w:w="15" w:type="dxa"/>
            </w:tcMar>
            <w:vAlign w:val="center"/>
          </w:tcPr>
          <w:p>
            <w:pPr>
              <w:pStyle w:val="44"/>
              <w:spacing w:line="560" w:lineRule="exact"/>
              <w:rPr>
                <w:rFonts w:ascii="楷体" w:hAnsi="楷体" w:eastAsia="楷体"/>
                <w:color w:val="auto"/>
                <w:sz w:val="24"/>
              </w:rPr>
            </w:pPr>
            <w:r>
              <w:rPr>
                <w:rFonts w:ascii="楷体" w:hAnsi="楷体" w:eastAsia="楷体"/>
                <w:color w:val="auto"/>
                <w:sz w:val="24"/>
              </w:rPr>
              <w:t>规范标准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478" w:type="dxa"/>
            <w:tcBorders>
              <w:tl2br w:val="nil"/>
              <w:tr2bl w:val="nil"/>
            </w:tcBorders>
            <w:tcMar>
              <w:top w:w="15" w:type="dxa"/>
              <w:left w:w="15" w:type="dxa"/>
              <w:right w:w="15" w:type="dxa"/>
            </w:tcMar>
            <w:vAlign w:val="center"/>
          </w:tcPr>
          <w:p>
            <w:pPr>
              <w:pStyle w:val="44"/>
              <w:spacing w:line="560" w:lineRule="exact"/>
              <w:rPr>
                <w:color w:val="auto"/>
                <w:szCs w:val="21"/>
              </w:rPr>
            </w:pPr>
            <w:r>
              <w:rPr>
                <w:rFonts w:hint="eastAsia"/>
                <w:b w:val="0"/>
                <w:bCs w:val="0"/>
                <w:color w:val="auto"/>
                <w:szCs w:val="21"/>
              </w:rPr>
              <w:t>11</w:t>
            </w:r>
          </w:p>
        </w:tc>
        <w:tc>
          <w:tcPr>
            <w:tcW w:w="8470" w:type="dxa"/>
            <w:tcBorders>
              <w:tl2br w:val="nil"/>
              <w:tr2bl w:val="nil"/>
            </w:tcBorders>
            <w:tcMar>
              <w:top w:w="15" w:type="dxa"/>
              <w:left w:w="15" w:type="dxa"/>
              <w:right w:w="15" w:type="dxa"/>
            </w:tcMar>
            <w:vAlign w:val="center"/>
          </w:tcPr>
          <w:p>
            <w:pPr>
              <w:pStyle w:val="44"/>
              <w:spacing w:line="560" w:lineRule="exact"/>
              <w:jc w:val="left"/>
              <w:rPr>
                <w:rFonts w:ascii="仿宋" w:hAnsi="仿宋"/>
                <w:color w:val="auto"/>
                <w:szCs w:val="21"/>
              </w:rPr>
            </w:pPr>
            <w:r>
              <w:rPr>
                <w:rFonts w:ascii="仿宋" w:hAnsi="仿宋"/>
                <w:b w:val="0"/>
                <w:bCs w:val="0"/>
                <w:color w:val="auto"/>
                <w:szCs w:val="21"/>
              </w:rPr>
              <w:t>《老年人照料设施建筑设计标准》(JGJ450-2018)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478" w:type="dxa"/>
            <w:tcBorders>
              <w:tl2br w:val="nil"/>
              <w:tr2bl w:val="nil"/>
            </w:tcBorders>
            <w:tcMar>
              <w:top w:w="15" w:type="dxa"/>
              <w:left w:w="15" w:type="dxa"/>
              <w:right w:w="15" w:type="dxa"/>
            </w:tcMar>
            <w:vAlign w:val="center"/>
          </w:tcPr>
          <w:p>
            <w:pPr>
              <w:pStyle w:val="44"/>
              <w:spacing w:line="560" w:lineRule="exact"/>
              <w:rPr>
                <w:b w:val="0"/>
                <w:bCs w:val="0"/>
                <w:color w:val="auto"/>
                <w:szCs w:val="21"/>
              </w:rPr>
            </w:pPr>
            <w:r>
              <w:rPr>
                <w:rFonts w:hint="eastAsia"/>
                <w:b w:val="0"/>
                <w:bCs w:val="0"/>
                <w:color w:val="auto"/>
                <w:szCs w:val="21"/>
              </w:rPr>
              <w:t>12</w:t>
            </w:r>
          </w:p>
        </w:tc>
        <w:tc>
          <w:tcPr>
            <w:tcW w:w="8470" w:type="dxa"/>
            <w:tcBorders>
              <w:tl2br w:val="nil"/>
              <w:tr2bl w:val="nil"/>
            </w:tcBorders>
            <w:tcMar>
              <w:top w:w="15" w:type="dxa"/>
              <w:left w:w="15" w:type="dxa"/>
              <w:right w:w="15" w:type="dxa"/>
            </w:tcMar>
            <w:vAlign w:val="center"/>
          </w:tcPr>
          <w:p>
            <w:pPr>
              <w:pStyle w:val="44"/>
              <w:spacing w:line="560" w:lineRule="exact"/>
              <w:jc w:val="left"/>
              <w:rPr>
                <w:rFonts w:ascii="仿宋" w:hAnsi="仿宋"/>
                <w:b w:val="0"/>
                <w:bCs w:val="0"/>
                <w:color w:val="auto"/>
                <w:szCs w:val="21"/>
              </w:rPr>
            </w:pPr>
            <w:r>
              <w:rPr>
                <w:rFonts w:ascii="仿宋" w:hAnsi="仿宋"/>
                <w:b w:val="0"/>
                <w:bCs w:val="0"/>
                <w:color w:val="auto"/>
                <w:szCs w:val="21"/>
              </w:rPr>
              <w:t>《老年养护院建设标准》(建标</w:t>
            </w:r>
            <w:r>
              <w:rPr>
                <w:rStyle w:val="73"/>
                <w:rFonts w:ascii="仿宋" w:hAnsi="仿宋" w:cs="黑体"/>
                <w:b w:val="0"/>
                <w:bCs w:val="0"/>
                <w:color w:val="auto"/>
                <w:sz w:val="21"/>
                <w:szCs w:val="21"/>
              </w:rPr>
              <w:t>144-2010</w:t>
            </w:r>
            <w:r>
              <w:rPr>
                <w:rStyle w:val="73"/>
                <w:rFonts w:hint="eastAsia" w:ascii="仿宋" w:hAnsi="仿宋" w:cs="黑体"/>
                <w:b w:val="0"/>
                <w:bCs w:val="0"/>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478" w:type="dxa"/>
            <w:tcBorders>
              <w:tl2br w:val="nil"/>
              <w:tr2bl w:val="nil"/>
            </w:tcBorders>
            <w:tcMar>
              <w:top w:w="15" w:type="dxa"/>
              <w:left w:w="15" w:type="dxa"/>
              <w:right w:w="15" w:type="dxa"/>
            </w:tcMar>
            <w:vAlign w:val="center"/>
          </w:tcPr>
          <w:p>
            <w:pPr>
              <w:pStyle w:val="44"/>
              <w:spacing w:line="560" w:lineRule="exact"/>
              <w:rPr>
                <w:b w:val="0"/>
                <w:bCs w:val="0"/>
                <w:color w:val="auto"/>
                <w:szCs w:val="21"/>
              </w:rPr>
            </w:pPr>
            <w:r>
              <w:rPr>
                <w:rFonts w:hint="eastAsia"/>
                <w:b w:val="0"/>
                <w:bCs w:val="0"/>
                <w:color w:val="auto"/>
                <w:szCs w:val="21"/>
              </w:rPr>
              <w:t>13</w:t>
            </w:r>
          </w:p>
        </w:tc>
        <w:tc>
          <w:tcPr>
            <w:tcW w:w="8470" w:type="dxa"/>
            <w:tcBorders>
              <w:tl2br w:val="nil"/>
              <w:tr2bl w:val="nil"/>
            </w:tcBorders>
            <w:tcMar>
              <w:top w:w="15" w:type="dxa"/>
              <w:left w:w="15" w:type="dxa"/>
              <w:right w:w="15" w:type="dxa"/>
            </w:tcMar>
            <w:vAlign w:val="center"/>
          </w:tcPr>
          <w:p>
            <w:pPr>
              <w:pStyle w:val="44"/>
              <w:spacing w:line="560" w:lineRule="exact"/>
              <w:jc w:val="left"/>
              <w:rPr>
                <w:rFonts w:ascii="仿宋" w:hAnsi="仿宋"/>
                <w:b w:val="0"/>
                <w:bCs w:val="0"/>
                <w:color w:val="auto"/>
                <w:szCs w:val="21"/>
              </w:rPr>
            </w:pPr>
            <w:r>
              <w:rPr>
                <w:rFonts w:ascii="仿宋" w:hAnsi="仿宋"/>
                <w:b w:val="0"/>
                <w:bCs w:val="0"/>
                <w:color w:val="auto"/>
                <w:szCs w:val="21"/>
              </w:rPr>
              <w:t>《城市居住区规划设计规范》（</w:t>
            </w:r>
            <w:r>
              <w:rPr>
                <w:rStyle w:val="73"/>
                <w:rFonts w:ascii="仿宋" w:hAnsi="仿宋" w:cs="黑体"/>
                <w:b w:val="0"/>
                <w:bCs w:val="0"/>
                <w:color w:val="auto"/>
                <w:sz w:val="21"/>
                <w:szCs w:val="21"/>
              </w:rPr>
              <w:t>GB50180-2018</w:t>
            </w:r>
            <w:r>
              <w:rPr>
                <w:rStyle w:val="62"/>
                <w:rFonts w:hint="default" w:cs="黑体"/>
                <w:b w:val="0"/>
                <w:bCs w:val="0"/>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478" w:type="dxa"/>
            <w:tcBorders>
              <w:tl2br w:val="nil"/>
              <w:tr2bl w:val="nil"/>
            </w:tcBorders>
            <w:tcMar>
              <w:top w:w="15" w:type="dxa"/>
              <w:left w:w="15" w:type="dxa"/>
              <w:right w:w="15" w:type="dxa"/>
            </w:tcMar>
            <w:vAlign w:val="center"/>
          </w:tcPr>
          <w:p>
            <w:pPr>
              <w:pStyle w:val="44"/>
              <w:spacing w:line="560" w:lineRule="exact"/>
              <w:rPr>
                <w:b w:val="0"/>
                <w:bCs w:val="0"/>
                <w:color w:val="auto"/>
                <w:szCs w:val="21"/>
              </w:rPr>
            </w:pPr>
            <w:r>
              <w:rPr>
                <w:rFonts w:hint="eastAsia"/>
                <w:b w:val="0"/>
                <w:bCs w:val="0"/>
                <w:color w:val="auto"/>
                <w:szCs w:val="21"/>
              </w:rPr>
              <w:t>14</w:t>
            </w:r>
          </w:p>
        </w:tc>
        <w:tc>
          <w:tcPr>
            <w:tcW w:w="8470" w:type="dxa"/>
            <w:tcBorders>
              <w:tl2br w:val="nil"/>
              <w:tr2bl w:val="nil"/>
            </w:tcBorders>
            <w:tcMar>
              <w:top w:w="15" w:type="dxa"/>
              <w:left w:w="15" w:type="dxa"/>
              <w:right w:w="15" w:type="dxa"/>
            </w:tcMar>
            <w:vAlign w:val="center"/>
          </w:tcPr>
          <w:p>
            <w:pPr>
              <w:pStyle w:val="44"/>
              <w:spacing w:line="560" w:lineRule="exact"/>
              <w:jc w:val="left"/>
              <w:rPr>
                <w:rFonts w:ascii="仿宋" w:hAnsi="仿宋"/>
                <w:b w:val="0"/>
                <w:bCs w:val="0"/>
                <w:color w:val="auto"/>
                <w:szCs w:val="21"/>
              </w:rPr>
            </w:pPr>
            <w:r>
              <w:rPr>
                <w:rFonts w:ascii="仿宋" w:hAnsi="仿宋"/>
                <w:b w:val="0"/>
                <w:bCs w:val="0"/>
                <w:color w:val="auto"/>
                <w:szCs w:val="21"/>
              </w:rPr>
              <w:t>《城镇老年人设施规划规范》(</w:t>
            </w:r>
            <w:r>
              <w:rPr>
                <w:rStyle w:val="73"/>
                <w:rFonts w:ascii="仿宋" w:hAnsi="仿宋" w:cs="黑体"/>
                <w:b w:val="0"/>
                <w:bCs w:val="0"/>
                <w:color w:val="auto"/>
                <w:sz w:val="21"/>
                <w:szCs w:val="21"/>
              </w:rPr>
              <w:t>GB50437-2007</w:t>
            </w:r>
            <w:r>
              <w:rPr>
                <w:rStyle w:val="62"/>
                <w:rFonts w:hint="default" w:cs="黑体"/>
                <w:b w:val="0"/>
                <w:bCs w:val="0"/>
                <w:color w:val="auto"/>
                <w:sz w:val="21"/>
                <w:szCs w:val="21"/>
              </w:rPr>
              <w:t>)（2018修订)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478" w:type="dxa"/>
            <w:tcBorders>
              <w:tl2br w:val="nil"/>
              <w:tr2bl w:val="nil"/>
            </w:tcBorders>
            <w:tcMar>
              <w:top w:w="15" w:type="dxa"/>
              <w:left w:w="15" w:type="dxa"/>
              <w:right w:w="15" w:type="dxa"/>
            </w:tcMar>
            <w:vAlign w:val="center"/>
          </w:tcPr>
          <w:p>
            <w:pPr>
              <w:pStyle w:val="44"/>
              <w:spacing w:line="560" w:lineRule="exact"/>
              <w:rPr>
                <w:b w:val="0"/>
                <w:bCs w:val="0"/>
                <w:color w:val="auto"/>
                <w:szCs w:val="21"/>
              </w:rPr>
            </w:pPr>
            <w:r>
              <w:rPr>
                <w:rFonts w:hint="eastAsia"/>
                <w:b w:val="0"/>
                <w:bCs w:val="0"/>
                <w:color w:val="auto"/>
                <w:szCs w:val="21"/>
              </w:rPr>
              <w:t>15</w:t>
            </w:r>
          </w:p>
        </w:tc>
        <w:tc>
          <w:tcPr>
            <w:tcW w:w="8470" w:type="dxa"/>
            <w:tcBorders>
              <w:tl2br w:val="nil"/>
              <w:tr2bl w:val="nil"/>
            </w:tcBorders>
            <w:tcMar>
              <w:top w:w="15" w:type="dxa"/>
              <w:left w:w="15" w:type="dxa"/>
              <w:right w:w="15" w:type="dxa"/>
            </w:tcMar>
            <w:vAlign w:val="center"/>
          </w:tcPr>
          <w:p>
            <w:pPr>
              <w:pStyle w:val="44"/>
              <w:spacing w:line="560" w:lineRule="exact"/>
              <w:jc w:val="left"/>
              <w:rPr>
                <w:rFonts w:ascii="仿宋" w:hAnsi="仿宋"/>
                <w:b w:val="0"/>
                <w:bCs w:val="0"/>
                <w:color w:val="auto"/>
                <w:szCs w:val="21"/>
              </w:rPr>
            </w:pPr>
            <w:r>
              <w:rPr>
                <w:rFonts w:ascii="仿宋" w:hAnsi="仿宋"/>
                <w:b w:val="0"/>
                <w:bCs w:val="0"/>
                <w:color w:val="auto"/>
                <w:szCs w:val="21"/>
              </w:rPr>
              <w:t>《城市公共设施规划规范》(</w:t>
            </w:r>
            <w:r>
              <w:rPr>
                <w:rStyle w:val="73"/>
                <w:rFonts w:ascii="仿宋" w:hAnsi="仿宋" w:cs="黑体"/>
                <w:b w:val="0"/>
                <w:bCs w:val="0"/>
                <w:color w:val="auto"/>
                <w:sz w:val="21"/>
                <w:szCs w:val="21"/>
              </w:rPr>
              <w:t>GB50442-2008</w:t>
            </w:r>
            <w:r>
              <w:rPr>
                <w:rStyle w:val="62"/>
                <w:rFonts w:hint="default" w:cs="黑体"/>
                <w:b w:val="0"/>
                <w:bCs w:val="0"/>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478" w:type="dxa"/>
            <w:tcBorders>
              <w:tl2br w:val="nil"/>
              <w:tr2bl w:val="nil"/>
            </w:tcBorders>
            <w:tcMar>
              <w:top w:w="15" w:type="dxa"/>
              <w:left w:w="15" w:type="dxa"/>
              <w:right w:w="15" w:type="dxa"/>
            </w:tcMar>
            <w:vAlign w:val="center"/>
          </w:tcPr>
          <w:p>
            <w:pPr>
              <w:pStyle w:val="44"/>
              <w:spacing w:line="560" w:lineRule="exact"/>
              <w:rPr>
                <w:b w:val="0"/>
                <w:bCs w:val="0"/>
                <w:color w:val="auto"/>
                <w:szCs w:val="21"/>
              </w:rPr>
            </w:pPr>
            <w:r>
              <w:rPr>
                <w:rFonts w:hint="eastAsia"/>
                <w:b w:val="0"/>
                <w:bCs w:val="0"/>
                <w:color w:val="auto"/>
                <w:szCs w:val="21"/>
              </w:rPr>
              <w:t>16</w:t>
            </w:r>
          </w:p>
        </w:tc>
        <w:tc>
          <w:tcPr>
            <w:tcW w:w="8470" w:type="dxa"/>
            <w:tcBorders>
              <w:tl2br w:val="nil"/>
              <w:tr2bl w:val="nil"/>
            </w:tcBorders>
            <w:tcMar>
              <w:top w:w="15" w:type="dxa"/>
              <w:left w:w="15" w:type="dxa"/>
              <w:right w:w="15" w:type="dxa"/>
            </w:tcMar>
            <w:vAlign w:val="center"/>
          </w:tcPr>
          <w:p>
            <w:pPr>
              <w:pStyle w:val="44"/>
              <w:spacing w:line="560" w:lineRule="exact"/>
              <w:jc w:val="left"/>
              <w:rPr>
                <w:rFonts w:ascii="仿宋" w:hAnsi="仿宋"/>
                <w:b w:val="0"/>
                <w:bCs w:val="0"/>
                <w:color w:val="auto"/>
                <w:szCs w:val="21"/>
              </w:rPr>
            </w:pPr>
            <w:r>
              <w:rPr>
                <w:rFonts w:hint="eastAsia" w:ascii="仿宋" w:hAnsi="仿宋"/>
                <w:b w:val="0"/>
                <w:bCs w:val="0"/>
                <w:color w:val="auto"/>
                <w:szCs w:val="21"/>
              </w:rPr>
              <w:t>《北京城市总体规划（</w:t>
            </w:r>
            <w:r>
              <w:rPr>
                <w:rFonts w:ascii="仿宋" w:hAnsi="仿宋"/>
                <w:b w:val="0"/>
                <w:bCs w:val="0"/>
                <w:color w:val="auto"/>
                <w:szCs w:val="21"/>
              </w:rPr>
              <w:t>2016年-2035年）》(2017年)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478" w:type="dxa"/>
            <w:tcBorders>
              <w:tl2br w:val="nil"/>
              <w:tr2bl w:val="nil"/>
            </w:tcBorders>
            <w:tcMar>
              <w:top w:w="15" w:type="dxa"/>
              <w:left w:w="15" w:type="dxa"/>
              <w:right w:w="15" w:type="dxa"/>
            </w:tcMar>
            <w:vAlign w:val="center"/>
          </w:tcPr>
          <w:p>
            <w:pPr>
              <w:pStyle w:val="44"/>
              <w:spacing w:line="560" w:lineRule="exact"/>
              <w:rPr>
                <w:b w:val="0"/>
                <w:bCs w:val="0"/>
                <w:color w:val="auto"/>
                <w:szCs w:val="21"/>
              </w:rPr>
            </w:pPr>
            <w:r>
              <w:rPr>
                <w:rFonts w:hint="eastAsia"/>
                <w:b w:val="0"/>
                <w:bCs w:val="0"/>
                <w:color w:val="auto"/>
                <w:szCs w:val="21"/>
              </w:rPr>
              <w:t>17</w:t>
            </w:r>
          </w:p>
        </w:tc>
        <w:tc>
          <w:tcPr>
            <w:tcW w:w="8470" w:type="dxa"/>
            <w:tcBorders>
              <w:tl2br w:val="nil"/>
              <w:tr2bl w:val="nil"/>
            </w:tcBorders>
            <w:tcMar>
              <w:top w:w="15" w:type="dxa"/>
              <w:left w:w="15" w:type="dxa"/>
              <w:right w:w="15" w:type="dxa"/>
            </w:tcMar>
            <w:vAlign w:val="center"/>
          </w:tcPr>
          <w:p>
            <w:pPr>
              <w:pStyle w:val="44"/>
              <w:spacing w:line="560" w:lineRule="exact"/>
              <w:jc w:val="left"/>
              <w:rPr>
                <w:rFonts w:ascii="仿宋" w:hAnsi="仿宋"/>
                <w:b w:val="0"/>
                <w:bCs w:val="0"/>
                <w:color w:val="auto"/>
                <w:szCs w:val="21"/>
              </w:rPr>
            </w:pPr>
            <w:r>
              <w:rPr>
                <w:rFonts w:ascii="仿宋" w:hAnsi="仿宋"/>
                <w:b w:val="0"/>
                <w:bCs w:val="0"/>
                <w:color w:val="auto"/>
                <w:szCs w:val="21"/>
              </w:rPr>
              <w:t>《社区养老服务设施设计标准》(</w:t>
            </w:r>
            <w:r>
              <w:rPr>
                <w:rStyle w:val="73"/>
                <w:rFonts w:ascii="仿宋" w:hAnsi="仿宋" w:cs="黑体"/>
                <w:b w:val="0"/>
                <w:bCs w:val="0"/>
                <w:color w:val="auto"/>
                <w:sz w:val="21"/>
                <w:szCs w:val="21"/>
              </w:rPr>
              <w:t>DB11/1309-2015</w:t>
            </w:r>
            <w:r>
              <w:rPr>
                <w:rStyle w:val="62"/>
                <w:rFonts w:hint="default" w:cs="黑体"/>
                <w:b w:val="0"/>
                <w:bCs w:val="0"/>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478" w:type="dxa"/>
            <w:tcBorders>
              <w:tl2br w:val="nil"/>
              <w:tr2bl w:val="nil"/>
            </w:tcBorders>
            <w:tcMar>
              <w:top w:w="15" w:type="dxa"/>
              <w:left w:w="15" w:type="dxa"/>
              <w:right w:w="15" w:type="dxa"/>
            </w:tcMar>
            <w:vAlign w:val="center"/>
          </w:tcPr>
          <w:p>
            <w:pPr>
              <w:pStyle w:val="44"/>
              <w:spacing w:line="560" w:lineRule="exact"/>
              <w:rPr>
                <w:b w:val="0"/>
                <w:bCs w:val="0"/>
                <w:color w:val="auto"/>
                <w:szCs w:val="21"/>
              </w:rPr>
            </w:pPr>
            <w:r>
              <w:rPr>
                <w:rFonts w:hint="eastAsia"/>
                <w:b w:val="0"/>
                <w:bCs w:val="0"/>
                <w:color w:val="auto"/>
                <w:szCs w:val="21"/>
              </w:rPr>
              <w:t>18</w:t>
            </w:r>
          </w:p>
        </w:tc>
        <w:tc>
          <w:tcPr>
            <w:tcW w:w="8470" w:type="dxa"/>
            <w:tcBorders>
              <w:tl2br w:val="nil"/>
              <w:tr2bl w:val="nil"/>
            </w:tcBorders>
            <w:tcMar>
              <w:top w:w="15" w:type="dxa"/>
              <w:left w:w="15" w:type="dxa"/>
              <w:right w:w="15" w:type="dxa"/>
            </w:tcMar>
            <w:vAlign w:val="center"/>
          </w:tcPr>
          <w:p>
            <w:pPr>
              <w:pStyle w:val="44"/>
              <w:spacing w:line="560" w:lineRule="exact"/>
              <w:jc w:val="left"/>
              <w:rPr>
                <w:rFonts w:ascii="仿宋" w:hAnsi="仿宋"/>
                <w:b w:val="0"/>
                <w:bCs w:val="0"/>
                <w:color w:val="auto"/>
                <w:szCs w:val="21"/>
              </w:rPr>
            </w:pPr>
            <w:r>
              <w:rPr>
                <w:rFonts w:hint="eastAsia" w:ascii="仿宋" w:hAnsi="仿宋"/>
                <w:b w:val="0"/>
                <w:bCs w:val="0"/>
                <w:color w:val="auto"/>
                <w:szCs w:val="21"/>
              </w:rPr>
              <w:t>《</w:t>
            </w:r>
            <w:r>
              <w:rPr>
                <w:rFonts w:ascii="仿宋" w:hAnsi="仿宋"/>
                <w:b w:val="0"/>
                <w:bCs w:val="0"/>
                <w:color w:val="auto"/>
                <w:szCs w:val="21"/>
              </w:rPr>
              <w:t>北京市养老服务设施规划设计技术要点 (试行)的通知》(市规发</w:t>
            </w:r>
            <w:r>
              <w:rPr>
                <w:rStyle w:val="62"/>
                <w:rFonts w:hint="default" w:cs="黑体"/>
                <w:b w:val="0"/>
                <w:bCs w:val="0"/>
                <w:color w:val="auto"/>
                <w:sz w:val="21"/>
                <w:szCs w:val="21"/>
              </w:rPr>
              <w:t>〔</w:t>
            </w:r>
            <w:r>
              <w:rPr>
                <w:rFonts w:ascii="仿宋" w:hAnsi="仿宋"/>
                <w:b w:val="0"/>
                <w:bCs w:val="0"/>
                <w:color w:val="auto"/>
                <w:szCs w:val="21"/>
              </w:rPr>
              <w:t>2014</w:t>
            </w:r>
            <w:r>
              <w:rPr>
                <w:rStyle w:val="62"/>
                <w:rFonts w:hint="default" w:cs="黑体"/>
                <w:b w:val="0"/>
                <w:bCs w:val="0"/>
                <w:color w:val="auto"/>
                <w:sz w:val="21"/>
                <w:szCs w:val="21"/>
              </w:rPr>
              <w:t>〕</w:t>
            </w:r>
            <w:r>
              <w:rPr>
                <w:rFonts w:ascii="仿宋" w:hAnsi="仿宋"/>
                <w:b w:val="0"/>
                <w:bCs w:val="0"/>
                <w:color w:val="auto"/>
                <w:szCs w:val="21"/>
              </w:rPr>
              <w:t>1946号)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8948" w:type="dxa"/>
            <w:gridSpan w:val="2"/>
            <w:tcBorders>
              <w:tl2br w:val="nil"/>
              <w:tr2bl w:val="nil"/>
            </w:tcBorders>
            <w:tcMar>
              <w:top w:w="15" w:type="dxa"/>
              <w:left w:w="15" w:type="dxa"/>
              <w:right w:w="15" w:type="dxa"/>
            </w:tcMar>
            <w:vAlign w:val="center"/>
          </w:tcPr>
          <w:p>
            <w:pPr>
              <w:pStyle w:val="44"/>
              <w:spacing w:line="560" w:lineRule="exact"/>
              <w:rPr>
                <w:rFonts w:ascii="楷体" w:hAnsi="楷体" w:eastAsia="楷体"/>
                <w:color w:val="auto"/>
                <w:sz w:val="24"/>
              </w:rPr>
            </w:pPr>
            <w:r>
              <w:rPr>
                <w:rFonts w:hint="eastAsia" w:ascii="楷体" w:hAnsi="楷体" w:eastAsia="楷体"/>
                <w:color w:val="auto"/>
                <w:sz w:val="24"/>
              </w:rPr>
              <w:t>北京市政策</w:t>
            </w:r>
            <w:r>
              <w:rPr>
                <w:rFonts w:ascii="楷体" w:hAnsi="楷体" w:eastAsia="楷体"/>
                <w:color w:val="auto"/>
                <w:sz w:val="24"/>
              </w:rPr>
              <w:t>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478" w:type="dxa"/>
            <w:tcBorders>
              <w:tl2br w:val="nil"/>
              <w:tr2bl w:val="nil"/>
            </w:tcBorders>
            <w:tcMar>
              <w:top w:w="15" w:type="dxa"/>
              <w:left w:w="15" w:type="dxa"/>
              <w:right w:w="15" w:type="dxa"/>
            </w:tcMar>
            <w:vAlign w:val="center"/>
          </w:tcPr>
          <w:p>
            <w:pPr>
              <w:pStyle w:val="44"/>
              <w:spacing w:line="560" w:lineRule="exact"/>
              <w:rPr>
                <w:b w:val="0"/>
                <w:bCs w:val="0"/>
                <w:color w:val="auto"/>
                <w:szCs w:val="21"/>
              </w:rPr>
            </w:pPr>
            <w:r>
              <w:rPr>
                <w:rFonts w:hint="eastAsia"/>
                <w:b w:val="0"/>
                <w:bCs w:val="0"/>
                <w:color w:val="auto"/>
                <w:szCs w:val="21"/>
              </w:rPr>
              <w:t>19</w:t>
            </w:r>
          </w:p>
        </w:tc>
        <w:tc>
          <w:tcPr>
            <w:tcW w:w="8470" w:type="dxa"/>
            <w:tcBorders>
              <w:tl2br w:val="nil"/>
              <w:tr2bl w:val="nil"/>
            </w:tcBorders>
            <w:tcMar>
              <w:top w:w="15" w:type="dxa"/>
              <w:left w:w="15" w:type="dxa"/>
              <w:right w:w="15" w:type="dxa"/>
            </w:tcMar>
            <w:vAlign w:val="center"/>
          </w:tcPr>
          <w:p>
            <w:pPr>
              <w:pStyle w:val="44"/>
              <w:spacing w:line="560" w:lineRule="exact"/>
              <w:jc w:val="left"/>
              <w:rPr>
                <w:b w:val="0"/>
                <w:bCs w:val="0"/>
                <w:color w:val="auto"/>
                <w:szCs w:val="21"/>
              </w:rPr>
            </w:pPr>
            <w:r>
              <w:rPr>
                <w:b w:val="0"/>
                <w:bCs w:val="0"/>
                <w:color w:val="auto"/>
                <w:szCs w:val="21"/>
              </w:rPr>
              <w:t>《北京市居家养老服务条例》</w:t>
            </w:r>
            <w:r>
              <w:rPr>
                <w:rFonts w:hint="eastAsia"/>
                <w:b w:val="0"/>
                <w:bCs w:val="0"/>
                <w:color w:val="auto"/>
                <w:szCs w:val="21"/>
              </w:rPr>
              <w:t>（</w:t>
            </w:r>
            <w:r>
              <w:rPr>
                <w:rStyle w:val="73"/>
                <w:rFonts w:ascii="仿宋" w:hAnsi="仿宋" w:cs="黑体"/>
                <w:b w:val="0"/>
                <w:bCs w:val="0"/>
                <w:color w:val="auto"/>
                <w:sz w:val="21"/>
                <w:szCs w:val="21"/>
              </w:rPr>
              <w:t>2015</w:t>
            </w:r>
            <w:r>
              <w:rPr>
                <w:rStyle w:val="62"/>
                <w:rFonts w:hint="default" w:cs="黑体"/>
                <w:b w:val="0"/>
                <w:bCs w:val="0"/>
                <w:color w:val="auto"/>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478" w:type="dxa"/>
            <w:tcBorders>
              <w:tl2br w:val="nil"/>
              <w:tr2bl w:val="nil"/>
            </w:tcBorders>
            <w:tcMar>
              <w:top w:w="15" w:type="dxa"/>
              <w:left w:w="15" w:type="dxa"/>
              <w:right w:w="15" w:type="dxa"/>
            </w:tcMar>
            <w:vAlign w:val="center"/>
          </w:tcPr>
          <w:p>
            <w:pPr>
              <w:pStyle w:val="44"/>
              <w:spacing w:line="560" w:lineRule="exact"/>
              <w:rPr>
                <w:b w:val="0"/>
                <w:bCs w:val="0"/>
                <w:color w:val="auto"/>
                <w:szCs w:val="21"/>
              </w:rPr>
            </w:pPr>
            <w:r>
              <w:rPr>
                <w:rFonts w:hint="eastAsia"/>
                <w:b w:val="0"/>
                <w:bCs w:val="0"/>
                <w:color w:val="auto"/>
                <w:szCs w:val="21"/>
              </w:rPr>
              <w:t>20</w:t>
            </w:r>
          </w:p>
        </w:tc>
        <w:tc>
          <w:tcPr>
            <w:tcW w:w="8470" w:type="dxa"/>
            <w:tcBorders>
              <w:tl2br w:val="nil"/>
              <w:tr2bl w:val="nil"/>
            </w:tcBorders>
            <w:tcMar>
              <w:top w:w="15" w:type="dxa"/>
              <w:left w:w="15" w:type="dxa"/>
              <w:right w:w="15" w:type="dxa"/>
            </w:tcMar>
            <w:vAlign w:val="center"/>
          </w:tcPr>
          <w:p>
            <w:pPr>
              <w:pStyle w:val="44"/>
              <w:spacing w:line="560" w:lineRule="exact"/>
              <w:jc w:val="left"/>
              <w:rPr>
                <w:rFonts w:ascii="仿宋" w:hAnsi="仿宋"/>
                <w:b w:val="0"/>
                <w:bCs w:val="0"/>
                <w:color w:val="auto"/>
                <w:szCs w:val="21"/>
              </w:rPr>
            </w:pPr>
            <w:r>
              <w:rPr>
                <w:rFonts w:hint="eastAsia" w:ascii="仿宋" w:hAnsi="仿宋"/>
                <w:b w:val="0"/>
                <w:bCs w:val="0"/>
                <w:color w:val="auto"/>
                <w:szCs w:val="21"/>
              </w:rPr>
              <w:t>《北京市居住公共服务设施配置指标》《北京市居住公共服务设施配置指标实施意见》</w:t>
            </w:r>
          </w:p>
          <w:p>
            <w:pPr>
              <w:pStyle w:val="44"/>
              <w:spacing w:line="560" w:lineRule="exact"/>
              <w:jc w:val="left"/>
              <w:rPr>
                <w:rFonts w:ascii="仿宋" w:hAnsi="仿宋"/>
                <w:b w:val="0"/>
                <w:bCs w:val="0"/>
                <w:color w:val="auto"/>
                <w:szCs w:val="21"/>
              </w:rPr>
            </w:pPr>
            <w:r>
              <w:rPr>
                <w:rFonts w:ascii="仿宋" w:hAnsi="仿宋"/>
                <w:b w:val="0"/>
                <w:bCs w:val="0"/>
                <w:color w:val="auto"/>
                <w:szCs w:val="21"/>
              </w:rPr>
              <w:t>(</w:t>
            </w:r>
            <w:r>
              <w:rPr>
                <w:rFonts w:hint="eastAsia" w:ascii="仿宋" w:hAnsi="仿宋"/>
                <w:b w:val="0"/>
                <w:bCs w:val="0"/>
                <w:color w:val="auto"/>
                <w:szCs w:val="21"/>
              </w:rPr>
              <w:t>京政发</w:t>
            </w:r>
            <w:r>
              <w:rPr>
                <w:rStyle w:val="62"/>
                <w:rFonts w:hint="default" w:cs="黑体"/>
                <w:b w:val="0"/>
                <w:bCs w:val="0"/>
                <w:color w:val="auto"/>
                <w:sz w:val="21"/>
                <w:szCs w:val="21"/>
              </w:rPr>
              <w:t>〔2015〕</w:t>
            </w:r>
            <w:r>
              <w:rPr>
                <w:rFonts w:ascii="仿宋" w:hAnsi="仿宋"/>
                <w:b w:val="0"/>
                <w:bCs w:val="0"/>
                <w:color w:val="auto"/>
                <w:szCs w:val="21"/>
              </w:rPr>
              <w:t>7号</w:t>
            </w:r>
            <w:r>
              <w:rPr>
                <w:rStyle w:val="62"/>
                <w:rFonts w:hint="default" w:cs="黑体"/>
                <w:b w:val="0"/>
                <w:bCs w:val="0"/>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478" w:type="dxa"/>
            <w:tcBorders>
              <w:tl2br w:val="nil"/>
              <w:tr2bl w:val="nil"/>
            </w:tcBorders>
            <w:tcMar>
              <w:top w:w="15" w:type="dxa"/>
              <w:left w:w="15" w:type="dxa"/>
              <w:right w:w="15" w:type="dxa"/>
            </w:tcMar>
            <w:vAlign w:val="center"/>
          </w:tcPr>
          <w:p>
            <w:pPr>
              <w:pStyle w:val="44"/>
              <w:spacing w:line="560" w:lineRule="exact"/>
              <w:rPr>
                <w:b w:val="0"/>
                <w:bCs w:val="0"/>
                <w:color w:val="auto"/>
                <w:szCs w:val="21"/>
              </w:rPr>
            </w:pPr>
            <w:r>
              <w:rPr>
                <w:rFonts w:hint="eastAsia"/>
                <w:b w:val="0"/>
                <w:bCs w:val="0"/>
                <w:color w:val="auto"/>
                <w:szCs w:val="21"/>
              </w:rPr>
              <w:t>21</w:t>
            </w:r>
          </w:p>
        </w:tc>
        <w:tc>
          <w:tcPr>
            <w:tcW w:w="8470" w:type="dxa"/>
            <w:tcBorders>
              <w:tl2br w:val="nil"/>
              <w:tr2bl w:val="nil"/>
            </w:tcBorders>
            <w:tcMar>
              <w:top w:w="15" w:type="dxa"/>
              <w:left w:w="15" w:type="dxa"/>
              <w:right w:w="15" w:type="dxa"/>
            </w:tcMar>
            <w:vAlign w:val="center"/>
          </w:tcPr>
          <w:p>
            <w:pPr>
              <w:pStyle w:val="44"/>
              <w:spacing w:line="560" w:lineRule="exact"/>
              <w:jc w:val="left"/>
              <w:rPr>
                <w:rFonts w:ascii="仿宋" w:hAnsi="仿宋"/>
                <w:b w:val="0"/>
                <w:bCs w:val="0"/>
                <w:color w:val="auto"/>
                <w:szCs w:val="21"/>
              </w:rPr>
            </w:pPr>
            <w:r>
              <w:rPr>
                <w:rFonts w:hint="eastAsia" w:ascii="仿宋" w:hAnsi="仿宋"/>
                <w:b w:val="0"/>
                <w:bCs w:val="0"/>
                <w:color w:val="auto"/>
                <w:szCs w:val="21"/>
              </w:rPr>
              <w:t>《关于加快推进养老服务发展的实施方案》（京政办发</w:t>
            </w:r>
            <w:r>
              <w:rPr>
                <w:rFonts w:ascii="仿宋" w:hAnsi="仿宋"/>
                <w:b w:val="0"/>
                <w:bCs w:val="0"/>
                <w:color w:val="auto"/>
                <w:szCs w:val="21"/>
              </w:rPr>
              <w:t>〔</w:t>
            </w:r>
            <w:r>
              <w:rPr>
                <w:rStyle w:val="73"/>
                <w:rFonts w:ascii="仿宋" w:hAnsi="仿宋" w:cs="黑体"/>
                <w:b w:val="0"/>
                <w:bCs w:val="0"/>
                <w:color w:val="auto"/>
                <w:sz w:val="21"/>
                <w:szCs w:val="21"/>
              </w:rPr>
              <w:t>20</w:t>
            </w:r>
            <w:r>
              <w:rPr>
                <w:rStyle w:val="73"/>
                <w:rFonts w:hint="eastAsia" w:ascii="仿宋" w:hAnsi="仿宋" w:cs="黑体"/>
                <w:b w:val="0"/>
                <w:bCs w:val="0"/>
                <w:color w:val="auto"/>
                <w:sz w:val="21"/>
                <w:szCs w:val="21"/>
              </w:rPr>
              <w:t>20</w:t>
            </w:r>
            <w:r>
              <w:rPr>
                <w:rStyle w:val="62"/>
                <w:rFonts w:hint="default" w:cs="黑体"/>
                <w:b w:val="0"/>
                <w:bCs w:val="0"/>
                <w:color w:val="auto"/>
                <w:sz w:val="21"/>
                <w:szCs w:val="21"/>
              </w:rPr>
              <w:t>〕</w:t>
            </w:r>
            <w:r>
              <w:rPr>
                <w:rStyle w:val="73"/>
                <w:rFonts w:hint="eastAsia" w:ascii="仿宋" w:hAnsi="仿宋" w:cs="黑体"/>
                <w:b w:val="0"/>
                <w:bCs w:val="0"/>
                <w:color w:val="auto"/>
                <w:sz w:val="21"/>
                <w:szCs w:val="21"/>
              </w:rPr>
              <w:t>17</w:t>
            </w:r>
            <w:r>
              <w:rPr>
                <w:rStyle w:val="62"/>
                <w:rFonts w:hint="default" w:cs="黑体"/>
                <w:b w:val="0"/>
                <w:bCs w:val="0"/>
                <w:color w:val="auto"/>
                <w:sz w:val="21"/>
                <w:szCs w:val="21"/>
              </w:rPr>
              <w:t>号</w:t>
            </w:r>
            <w:r>
              <w:rPr>
                <w:rFonts w:hint="eastAsia" w:ascii="仿宋" w:hAnsi="仿宋"/>
                <w:b w:val="0"/>
                <w:bCs w:val="0"/>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478" w:type="dxa"/>
            <w:tcBorders>
              <w:tl2br w:val="nil"/>
              <w:tr2bl w:val="nil"/>
            </w:tcBorders>
            <w:tcMar>
              <w:top w:w="15" w:type="dxa"/>
              <w:left w:w="15" w:type="dxa"/>
              <w:right w:w="15" w:type="dxa"/>
            </w:tcMar>
            <w:vAlign w:val="center"/>
          </w:tcPr>
          <w:p>
            <w:pPr>
              <w:pStyle w:val="44"/>
              <w:spacing w:line="560" w:lineRule="exact"/>
              <w:rPr>
                <w:b w:val="0"/>
                <w:bCs w:val="0"/>
                <w:color w:val="auto"/>
                <w:szCs w:val="21"/>
              </w:rPr>
            </w:pPr>
            <w:r>
              <w:rPr>
                <w:rFonts w:hint="eastAsia"/>
                <w:b w:val="0"/>
                <w:bCs w:val="0"/>
                <w:color w:val="auto"/>
                <w:szCs w:val="21"/>
              </w:rPr>
              <w:t>22</w:t>
            </w:r>
          </w:p>
        </w:tc>
        <w:tc>
          <w:tcPr>
            <w:tcW w:w="8470" w:type="dxa"/>
            <w:tcBorders>
              <w:tl2br w:val="nil"/>
              <w:tr2bl w:val="nil"/>
            </w:tcBorders>
            <w:tcMar>
              <w:top w:w="15" w:type="dxa"/>
              <w:left w:w="15" w:type="dxa"/>
              <w:right w:w="15" w:type="dxa"/>
            </w:tcMar>
            <w:vAlign w:val="center"/>
          </w:tcPr>
          <w:p>
            <w:pPr>
              <w:pStyle w:val="44"/>
              <w:spacing w:line="560" w:lineRule="exact"/>
              <w:jc w:val="left"/>
              <w:rPr>
                <w:rFonts w:ascii="仿宋" w:hAnsi="仿宋"/>
                <w:b w:val="0"/>
                <w:bCs w:val="0"/>
                <w:color w:val="auto"/>
                <w:szCs w:val="21"/>
              </w:rPr>
            </w:pPr>
            <w:r>
              <w:rPr>
                <w:rFonts w:ascii="仿宋" w:hAnsi="仿宋"/>
                <w:b w:val="0"/>
                <w:bCs w:val="0"/>
                <w:color w:val="auto"/>
                <w:szCs w:val="21"/>
              </w:rPr>
              <w:t>《关于加强老年人照顾服务完善养老体系的实施意见》(京政办发〔</w:t>
            </w:r>
            <w:r>
              <w:rPr>
                <w:rStyle w:val="73"/>
                <w:rFonts w:ascii="仿宋" w:hAnsi="仿宋" w:cs="黑体"/>
                <w:b w:val="0"/>
                <w:bCs w:val="0"/>
                <w:color w:val="auto"/>
                <w:sz w:val="21"/>
                <w:szCs w:val="21"/>
              </w:rPr>
              <w:t>2018</w:t>
            </w:r>
            <w:r>
              <w:rPr>
                <w:rStyle w:val="62"/>
                <w:rFonts w:hint="default" w:cs="黑体"/>
                <w:b w:val="0"/>
                <w:bCs w:val="0"/>
                <w:color w:val="auto"/>
                <w:sz w:val="21"/>
                <w:szCs w:val="21"/>
              </w:rPr>
              <w:t>〕</w:t>
            </w:r>
            <w:r>
              <w:rPr>
                <w:rStyle w:val="73"/>
                <w:rFonts w:ascii="仿宋" w:hAnsi="仿宋" w:cs="黑体"/>
                <w:b w:val="0"/>
                <w:bCs w:val="0"/>
                <w:color w:val="auto"/>
                <w:sz w:val="21"/>
                <w:szCs w:val="21"/>
              </w:rPr>
              <w:t>41</w:t>
            </w:r>
            <w:r>
              <w:rPr>
                <w:rStyle w:val="62"/>
                <w:rFonts w:hint="default" w:cs="黑体"/>
                <w:b w:val="0"/>
                <w:bCs w:val="0"/>
                <w:color w:val="auto"/>
                <w:sz w:val="21"/>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478" w:type="dxa"/>
            <w:tcBorders>
              <w:tl2br w:val="nil"/>
              <w:tr2bl w:val="nil"/>
            </w:tcBorders>
            <w:tcMar>
              <w:top w:w="15" w:type="dxa"/>
              <w:left w:w="15" w:type="dxa"/>
              <w:right w:w="15" w:type="dxa"/>
            </w:tcMar>
            <w:vAlign w:val="center"/>
          </w:tcPr>
          <w:p>
            <w:pPr>
              <w:pStyle w:val="44"/>
              <w:spacing w:line="560" w:lineRule="exact"/>
              <w:rPr>
                <w:b w:val="0"/>
                <w:bCs w:val="0"/>
                <w:color w:val="auto"/>
                <w:szCs w:val="21"/>
              </w:rPr>
            </w:pPr>
            <w:r>
              <w:rPr>
                <w:rFonts w:hint="eastAsia"/>
                <w:b w:val="0"/>
                <w:bCs w:val="0"/>
                <w:color w:val="auto"/>
                <w:szCs w:val="21"/>
              </w:rPr>
              <w:t>23</w:t>
            </w:r>
          </w:p>
        </w:tc>
        <w:tc>
          <w:tcPr>
            <w:tcW w:w="8470" w:type="dxa"/>
            <w:tcBorders>
              <w:tl2br w:val="nil"/>
              <w:tr2bl w:val="nil"/>
            </w:tcBorders>
            <w:tcMar>
              <w:top w:w="15" w:type="dxa"/>
              <w:left w:w="15" w:type="dxa"/>
              <w:right w:w="15" w:type="dxa"/>
            </w:tcMar>
            <w:vAlign w:val="center"/>
          </w:tcPr>
          <w:p>
            <w:pPr>
              <w:pStyle w:val="44"/>
              <w:spacing w:line="560" w:lineRule="exact"/>
              <w:jc w:val="left"/>
              <w:rPr>
                <w:rFonts w:ascii="仿宋" w:hAnsi="仿宋"/>
                <w:b w:val="0"/>
                <w:bCs w:val="0"/>
                <w:color w:val="auto"/>
                <w:szCs w:val="21"/>
              </w:rPr>
            </w:pPr>
            <w:r>
              <w:rPr>
                <w:rFonts w:hint="eastAsia" w:ascii="仿宋" w:hAnsi="仿宋"/>
                <w:b w:val="0"/>
                <w:bCs w:val="0"/>
                <w:color w:val="auto"/>
                <w:szCs w:val="21"/>
              </w:rPr>
              <w:t>《北京市街道</w:t>
            </w:r>
            <w:r>
              <w:rPr>
                <w:rFonts w:ascii="仿宋" w:hAnsi="仿宋"/>
                <w:b w:val="0"/>
                <w:bCs w:val="0"/>
                <w:color w:val="auto"/>
                <w:szCs w:val="21"/>
              </w:rPr>
              <w:t>(乡镇)养老照料中心建设资助和运营管理办法》</w:t>
            </w:r>
            <w:r>
              <w:rPr>
                <w:rFonts w:hint="eastAsia" w:ascii="仿宋" w:hAnsi="仿宋"/>
                <w:b w:val="0"/>
                <w:bCs w:val="0"/>
                <w:color w:val="auto"/>
                <w:szCs w:val="21"/>
              </w:rPr>
              <w:t>（京民福发〔</w:t>
            </w:r>
            <w:r>
              <w:rPr>
                <w:rFonts w:ascii="仿宋" w:hAnsi="仿宋"/>
                <w:b w:val="0"/>
                <w:bCs w:val="0"/>
                <w:color w:val="auto"/>
                <w:szCs w:val="21"/>
              </w:rPr>
              <w:t>2017〕162号</w:t>
            </w:r>
            <w:r>
              <w:rPr>
                <w:rFonts w:hint="eastAsia" w:ascii="仿宋" w:hAnsi="仿宋"/>
                <w:b w:val="0"/>
                <w:bCs w:val="0"/>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478" w:type="dxa"/>
            <w:tcBorders>
              <w:tl2br w:val="nil"/>
              <w:tr2bl w:val="nil"/>
            </w:tcBorders>
            <w:tcMar>
              <w:top w:w="15" w:type="dxa"/>
              <w:left w:w="15" w:type="dxa"/>
              <w:right w:w="15" w:type="dxa"/>
            </w:tcMar>
            <w:vAlign w:val="center"/>
          </w:tcPr>
          <w:p>
            <w:pPr>
              <w:pStyle w:val="44"/>
              <w:spacing w:line="560" w:lineRule="exact"/>
              <w:rPr>
                <w:b w:val="0"/>
                <w:bCs w:val="0"/>
                <w:color w:val="auto"/>
                <w:szCs w:val="21"/>
              </w:rPr>
            </w:pPr>
            <w:r>
              <w:rPr>
                <w:rFonts w:hint="eastAsia"/>
                <w:b w:val="0"/>
                <w:bCs w:val="0"/>
                <w:color w:val="auto"/>
                <w:szCs w:val="21"/>
              </w:rPr>
              <w:t>24</w:t>
            </w:r>
          </w:p>
        </w:tc>
        <w:tc>
          <w:tcPr>
            <w:tcW w:w="8470" w:type="dxa"/>
            <w:tcBorders>
              <w:tl2br w:val="nil"/>
              <w:tr2bl w:val="nil"/>
            </w:tcBorders>
            <w:tcMar>
              <w:top w:w="15" w:type="dxa"/>
              <w:left w:w="15" w:type="dxa"/>
              <w:right w:w="15" w:type="dxa"/>
            </w:tcMar>
            <w:vAlign w:val="center"/>
          </w:tcPr>
          <w:p>
            <w:pPr>
              <w:pStyle w:val="44"/>
              <w:spacing w:line="560" w:lineRule="exact"/>
              <w:jc w:val="left"/>
              <w:rPr>
                <w:rFonts w:ascii="仿宋" w:hAnsi="仿宋"/>
                <w:b w:val="0"/>
                <w:bCs w:val="0"/>
                <w:color w:val="auto"/>
                <w:szCs w:val="21"/>
              </w:rPr>
            </w:pPr>
            <w:r>
              <w:rPr>
                <w:rFonts w:hint="eastAsia" w:ascii="仿宋" w:hAnsi="仿宋"/>
                <w:b w:val="0"/>
                <w:bCs w:val="0"/>
                <w:color w:val="auto"/>
                <w:szCs w:val="21"/>
              </w:rPr>
              <w:t>《关于开展社区养老服务驿站建设的意见》</w:t>
            </w:r>
            <w:r>
              <w:rPr>
                <w:rFonts w:ascii="仿宋" w:hAnsi="仿宋"/>
                <w:b w:val="0"/>
                <w:bCs w:val="0"/>
                <w:color w:val="auto"/>
                <w:szCs w:val="21"/>
              </w:rPr>
              <w:t>(</w:t>
            </w:r>
            <w:r>
              <w:rPr>
                <w:rFonts w:hint="eastAsia" w:ascii="仿宋" w:hAnsi="仿宋"/>
                <w:b w:val="0"/>
                <w:bCs w:val="0"/>
                <w:color w:val="auto"/>
                <w:szCs w:val="21"/>
              </w:rPr>
              <w:t>京老龄委发〔</w:t>
            </w:r>
            <w:r>
              <w:rPr>
                <w:rStyle w:val="62"/>
                <w:rFonts w:hint="default" w:cs="黑体"/>
                <w:b w:val="0"/>
                <w:bCs w:val="0"/>
                <w:color w:val="auto"/>
                <w:sz w:val="21"/>
                <w:szCs w:val="21"/>
              </w:rPr>
              <w:t>2016</w:t>
            </w:r>
            <w:r>
              <w:rPr>
                <w:rFonts w:ascii="仿宋" w:hAnsi="仿宋"/>
                <w:b w:val="0"/>
                <w:bCs w:val="0"/>
                <w:color w:val="auto"/>
                <w:szCs w:val="21"/>
              </w:rPr>
              <w:t>〕8号</w:t>
            </w:r>
            <w:r>
              <w:rPr>
                <w:rStyle w:val="62"/>
                <w:rFonts w:hint="default" w:cs="黑体"/>
                <w:b w:val="0"/>
                <w:bCs w:val="0"/>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478" w:type="dxa"/>
            <w:tcBorders>
              <w:tl2br w:val="nil"/>
              <w:tr2bl w:val="nil"/>
            </w:tcBorders>
            <w:tcMar>
              <w:top w:w="15" w:type="dxa"/>
              <w:left w:w="15" w:type="dxa"/>
              <w:right w:w="15" w:type="dxa"/>
            </w:tcMar>
            <w:vAlign w:val="center"/>
          </w:tcPr>
          <w:p>
            <w:pPr>
              <w:pStyle w:val="44"/>
              <w:spacing w:line="560" w:lineRule="exact"/>
              <w:rPr>
                <w:b w:val="0"/>
                <w:bCs w:val="0"/>
                <w:color w:val="auto"/>
                <w:szCs w:val="21"/>
              </w:rPr>
            </w:pPr>
            <w:r>
              <w:rPr>
                <w:rFonts w:hint="eastAsia"/>
                <w:b w:val="0"/>
                <w:bCs w:val="0"/>
                <w:color w:val="auto"/>
                <w:szCs w:val="21"/>
              </w:rPr>
              <w:t>25</w:t>
            </w:r>
          </w:p>
        </w:tc>
        <w:tc>
          <w:tcPr>
            <w:tcW w:w="8470" w:type="dxa"/>
            <w:tcBorders>
              <w:tl2br w:val="nil"/>
              <w:tr2bl w:val="nil"/>
            </w:tcBorders>
            <w:tcMar>
              <w:top w:w="15" w:type="dxa"/>
              <w:left w:w="15" w:type="dxa"/>
              <w:right w:w="15" w:type="dxa"/>
            </w:tcMar>
            <w:vAlign w:val="center"/>
          </w:tcPr>
          <w:p>
            <w:pPr>
              <w:pStyle w:val="44"/>
              <w:spacing w:line="560" w:lineRule="exact"/>
              <w:jc w:val="left"/>
              <w:rPr>
                <w:rFonts w:ascii="仿宋" w:hAnsi="仿宋"/>
                <w:b w:val="0"/>
                <w:bCs w:val="0"/>
                <w:color w:val="auto"/>
                <w:szCs w:val="21"/>
              </w:rPr>
            </w:pPr>
            <w:r>
              <w:rPr>
                <w:rFonts w:ascii="仿宋" w:hAnsi="仿宋"/>
                <w:b w:val="0"/>
                <w:bCs w:val="0"/>
                <w:color w:val="auto"/>
                <w:szCs w:val="21"/>
              </w:rPr>
              <w:t>《建设项目规划使用性质正面和负面清单》(市规划国土发〔</w:t>
            </w:r>
            <w:r>
              <w:rPr>
                <w:rStyle w:val="73"/>
                <w:rFonts w:ascii="仿宋" w:hAnsi="仿宋" w:cs="黑体"/>
                <w:b w:val="0"/>
                <w:bCs w:val="0"/>
                <w:color w:val="auto"/>
                <w:sz w:val="21"/>
                <w:szCs w:val="21"/>
              </w:rPr>
              <w:t>2018</w:t>
            </w:r>
            <w:r>
              <w:rPr>
                <w:rStyle w:val="62"/>
                <w:rFonts w:hint="default" w:cs="黑体"/>
                <w:b w:val="0"/>
                <w:bCs w:val="0"/>
                <w:color w:val="auto"/>
                <w:sz w:val="21"/>
                <w:szCs w:val="21"/>
              </w:rPr>
              <w:t>〕</w:t>
            </w:r>
            <w:r>
              <w:rPr>
                <w:rStyle w:val="73"/>
                <w:rFonts w:ascii="仿宋" w:hAnsi="仿宋" w:cs="黑体"/>
                <w:b w:val="0"/>
                <w:bCs w:val="0"/>
                <w:color w:val="auto"/>
                <w:sz w:val="21"/>
                <w:szCs w:val="21"/>
              </w:rPr>
              <w:t>88</w:t>
            </w:r>
            <w:r>
              <w:rPr>
                <w:rStyle w:val="62"/>
                <w:rFonts w:hint="default" w:cs="黑体"/>
                <w:b w:val="0"/>
                <w:bCs w:val="0"/>
                <w:color w:val="auto"/>
                <w:sz w:val="21"/>
                <w:szCs w:val="21"/>
              </w:rPr>
              <w:t>号)</w:t>
            </w:r>
          </w:p>
        </w:tc>
      </w:tr>
    </w:tbl>
    <w:p>
      <w:pPr>
        <w:pStyle w:val="4"/>
        <w:spacing w:before="205" w:after="205" w:line="560" w:lineRule="exact"/>
        <w:rPr>
          <w:color w:val="auto"/>
        </w:rPr>
      </w:pPr>
      <w:bookmarkStart w:id="35" w:name="_Toc11309_WPSOffice_Level2"/>
      <w:bookmarkStart w:id="36" w:name="_Toc7363_WPSOffice_Level2"/>
      <w:bookmarkStart w:id="37" w:name="_Toc3009_WPSOffice_Level2"/>
      <w:r>
        <w:rPr>
          <w:color w:val="auto"/>
        </w:rPr>
        <w:t>第</w:t>
      </w:r>
      <w:r>
        <w:rPr>
          <w:rFonts w:hint="eastAsia"/>
          <w:color w:val="auto"/>
        </w:rPr>
        <w:t>3</w:t>
      </w:r>
      <w:r>
        <w:rPr>
          <w:color w:val="auto"/>
        </w:rPr>
        <w:t>条 规划对象</w:t>
      </w:r>
      <w:bookmarkEnd w:id="35"/>
      <w:bookmarkEnd w:id="36"/>
      <w:bookmarkEnd w:id="37"/>
    </w:p>
    <w:p>
      <w:pPr>
        <w:spacing w:line="560" w:lineRule="exact"/>
        <w:ind w:firstLine="600"/>
        <w:rPr>
          <w:rFonts w:cs="宋体"/>
          <w:color w:val="auto"/>
          <w:kern w:val="0"/>
        </w:rPr>
      </w:pPr>
      <w:r>
        <w:rPr>
          <w:rFonts w:hint="eastAsia" w:cs="宋体"/>
          <w:color w:val="auto"/>
          <w:kern w:val="0"/>
        </w:rPr>
        <w:t>本</w:t>
      </w:r>
      <w:r>
        <w:rPr>
          <w:rFonts w:cs="宋体"/>
          <w:color w:val="auto"/>
          <w:kern w:val="0"/>
        </w:rPr>
        <w:t>规划人群覆盖全市60</w:t>
      </w:r>
      <w:r>
        <w:rPr>
          <w:rFonts w:hint="eastAsia" w:cs="宋体"/>
          <w:color w:val="auto"/>
          <w:kern w:val="0"/>
        </w:rPr>
        <w:t>周</w:t>
      </w:r>
      <w:r>
        <w:rPr>
          <w:rFonts w:cs="宋体"/>
          <w:color w:val="auto"/>
          <w:kern w:val="0"/>
        </w:rPr>
        <w:t>岁以上</w:t>
      </w:r>
      <w:r>
        <w:rPr>
          <w:rFonts w:hint="eastAsia" w:cs="宋体"/>
          <w:color w:val="auto"/>
          <w:kern w:val="0"/>
        </w:rPr>
        <w:t>（含6</w:t>
      </w:r>
      <w:r>
        <w:rPr>
          <w:rFonts w:cs="宋体"/>
          <w:color w:val="auto"/>
          <w:kern w:val="0"/>
        </w:rPr>
        <w:t>0</w:t>
      </w:r>
      <w:r>
        <w:rPr>
          <w:rFonts w:hint="eastAsia" w:cs="宋体"/>
          <w:color w:val="auto"/>
          <w:kern w:val="0"/>
        </w:rPr>
        <w:t>周岁）</w:t>
      </w:r>
      <w:r>
        <w:rPr>
          <w:rFonts w:cs="宋体"/>
          <w:color w:val="auto"/>
          <w:kern w:val="0"/>
        </w:rPr>
        <w:t>常住老年人</w:t>
      </w:r>
      <w:r>
        <w:rPr>
          <w:rFonts w:hint="eastAsia" w:cs="宋体"/>
          <w:color w:val="auto"/>
          <w:kern w:val="0"/>
        </w:rPr>
        <w:t>、</w:t>
      </w:r>
      <w:r>
        <w:rPr>
          <w:rFonts w:cs="宋体"/>
          <w:color w:val="auto"/>
          <w:kern w:val="0"/>
        </w:rPr>
        <w:t>60</w:t>
      </w:r>
      <w:r>
        <w:rPr>
          <w:rFonts w:hint="eastAsia" w:cs="宋体"/>
          <w:color w:val="auto"/>
          <w:kern w:val="0"/>
        </w:rPr>
        <w:t>周</w:t>
      </w:r>
      <w:r>
        <w:rPr>
          <w:rFonts w:cs="宋体"/>
          <w:color w:val="auto"/>
          <w:kern w:val="0"/>
        </w:rPr>
        <w:t>岁以下残疾人和</w:t>
      </w:r>
      <w:r>
        <w:rPr>
          <w:rFonts w:hint="eastAsia" w:cs="宋体"/>
          <w:color w:val="auto"/>
          <w:kern w:val="0"/>
        </w:rPr>
        <w:t>1</w:t>
      </w:r>
      <w:r>
        <w:rPr>
          <w:rFonts w:cs="宋体"/>
          <w:color w:val="auto"/>
          <w:kern w:val="0"/>
        </w:rPr>
        <w:t>8</w:t>
      </w:r>
      <w:r>
        <w:rPr>
          <w:rFonts w:hint="eastAsia" w:cs="宋体"/>
          <w:color w:val="auto"/>
          <w:kern w:val="0"/>
        </w:rPr>
        <w:t>周岁以下</w:t>
      </w:r>
      <w:r>
        <w:rPr>
          <w:rFonts w:cs="宋体"/>
          <w:color w:val="auto"/>
          <w:kern w:val="0"/>
        </w:rPr>
        <w:t>困境儿童</w:t>
      </w:r>
      <w:r>
        <w:rPr>
          <w:rFonts w:hint="eastAsia" w:cs="宋体"/>
          <w:color w:val="auto"/>
          <w:kern w:val="0"/>
        </w:rPr>
        <w:t>以及其他有照护需求的特殊群体。</w:t>
      </w:r>
    </w:p>
    <w:p>
      <w:pPr>
        <w:spacing w:line="560" w:lineRule="exact"/>
        <w:ind w:firstLine="600"/>
        <w:rPr>
          <w:rFonts w:cs="宋体"/>
          <w:color w:val="auto"/>
          <w:kern w:val="0"/>
        </w:rPr>
      </w:pPr>
      <w:r>
        <w:rPr>
          <w:rFonts w:hint="eastAsia" w:cs="宋体"/>
          <w:color w:val="auto"/>
          <w:kern w:val="0"/>
        </w:rPr>
        <w:t>根据当前经济社会发展和财政保障能力，针对本市60周岁以上（含60周岁）常住老年人，划分以下三类人群为基本养老服务对象：一是城乡特困老年人等托底保障群体</w:t>
      </w:r>
      <w:r>
        <w:rPr>
          <w:rStyle w:val="38"/>
          <w:rFonts w:hint="eastAsia" w:cs="宋体"/>
          <w:color w:val="auto"/>
          <w:kern w:val="0"/>
        </w:rPr>
        <w:footnoteReference w:id="0"/>
      </w:r>
      <w:r>
        <w:rPr>
          <w:rFonts w:hint="eastAsia" w:cs="宋体"/>
          <w:color w:val="auto"/>
          <w:kern w:val="0"/>
        </w:rPr>
        <w:t>。二是低保或低收入家庭失能、失智、高龄老年人等困境保障群体。三是失能、失智、重度残疾、计划生育特殊家庭老年人等重点保障群体。</w:t>
      </w:r>
      <w:bookmarkStart w:id="38" w:name="_Hlk40175006"/>
      <w:bookmarkStart w:id="39" w:name="_Toc29116_WPSOffice_Level2"/>
      <w:bookmarkStart w:id="40" w:name="_Toc1823_WPSOffice_Level2"/>
      <w:bookmarkStart w:id="41" w:name="_Toc19719_WPSOffice_Level2"/>
    </w:p>
    <w:p>
      <w:pPr>
        <w:pStyle w:val="4"/>
        <w:spacing w:before="205" w:after="205" w:line="560" w:lineRule="exact"/>
        <w:rPr>
          <w:color w:val="auto"/>
        </w:rPr>
      </w:pPr>
      <w:r>
        <w:rPr>
          <w:color w:val="auto"/>
        </w:rPr>
        <w:t>第</w:t>
      </w:r>
      <w:r>
        <w:rPr>
          <w:rFonts w:hint="eastAsia"/>
          <w:color w:val="auto"/>
        </w:rPr>
        <w:t>4</w:t>
      </w:r>
      <w:r>
        <w:rPr>
          <w:color w:val="auto"/>
        </w:rPr>
        <w:t>条 规划</w:t>
      </w:r>
      <w:r>
        <w:rPr>
          <w:rFonts w:hint="eastAsia"/>
          <w:color w:val="auto"/>
        </w:rPr>
        <w:t>范围</w:t>
      </w:r>
    </w:p>
    <w:p>
      <w:pPr>
        <w:spacing w:line="560" w:lineRule="exact"/>
        <w:ind w:firstLine="600"/>
        <w:rPr>
          <w:color w:val="auto"/>
        </w:rPr>
      </w:pPr>
      <w:r>
        <w:rPr>
          <w:rFonts w:hint="eastAsia"/>
          <w:color w:val="auto"/>
        </w:rPr>
        <w:t>规划空间范围是北京市行政辖区，总面积为</w:t>
      </w:r>
      <w:r>
        <w:rPr>
          <w:color w:val="auto"/>
        </w:rPr>
        <w:t>16410平方公里。</w:t>
      </w:r>
    </w:p>
    <w:bookmarkEnd w:id="38"/>
    <w:p>
      <w:pPr>
        <w:pStyle w:val="4"/>
        <w:spacing w:before="205" w:after="205" w:line="560" w:lineRule="exact"/>
        <w:rPr>
          <w:color w:val="auto"/>
        </w:rPr>
      </w:pPr>
      <w:r>
        <w:rPr>
          <w:color w:val="auto"/>
        </w:rPr>
        <w:t>第</w:t>
      </w:r>
      <w:r>
        <w:rPr>
          <w:rFonts w:hint="eastAsia"/>
          <w:color w:val="auto"/>
        </w:rPr>
        <w:t>5</w:t>
      </w:r>
      <w:r>
        <w:rPr>
          <w:color w:val="auto"/>
        </w:rPr>
        <w:t>条 规划期限</w:t>
      </w:r>
      <w:bookmarkEnd w:id="39"/>
      <w:bookmarkEnd w:id="40"/>
      <w:bookmarkEnd w:id="41"/>
    </w:p>
    <w:p>
      <w:pPr>
        <w:wordWrap w:val="0"/>
        <w:autoSpaceDE w:val="0"/>
        <w:autoSpaceDN w:val="0"/>
        <w:adjustRightInd w:val="0"/>
        <w:spacing w:before="205" w:beforeLines="50" w:line="560" w:lineRule="exact"/>
        <w:ind w:firstLine="600"/>
        <w:rPr>
          <w:rFonts w:cs="Times New Roman"/>
          <w:color w:val="auto"/>
          <w:szCs w:val="30"/>
        </w:rPr>
      </w:pPr>
      <w:r>
        <w:rPr>
          <w:rFonts w:cs="Times New Roman"/>
          <w:color w:val="auto"/>
          <w:szCs w:val="30"/>
        </w:rPr>
        <w:t>规划期限为20</w:t>
      </w:r>
      <w:r>
        <w:rPr>
          <w:rFonts w:hint="eastAsia" w:cs="Times New Roman"/>
          <w:color w:val="auto"/>
          <w:szCs w:val="30"/>
        </w:rPr>
        <w:t>21</w:t>
      </w:r>
      <w:r>
        <w:rPr>
          <w:rFonts w:cs="Times New Roman"/>
          <w:color w:val="auto"/>
          <w:szCs w:val="30"/>
        </w:rPr>
        <w:t>年至2035年。其中</w:t>
      </w:r>
      <w:r>
        <w:rPr>
          <w:rFonts w:hint="eastAsia" w:cs="Times New Roman"/>
          <w:color w:val="auto"/>
          <w:szCs w:val="30"/>
        </w:rPr>
        <w:t>：中期</w:t>
      </w:r>
      <w:r>
        <w:rPr>
          <w:rFonts w:cs="Times New Roman"/>
          <w:color w:val="auto"/>
          <w:szCs w:val="30"/>
        </w:rPr>
        <w:t>至2025年，长期至2035年。</w:t>
      </w:r>
    </w:p>
    <w:p>
      <w:pPr>
        <w:pStyle w:val="4"/>
        <w:spacing w:before="205" w:after="205" w:line="560" w:lineRule="exact"/>
        <w:rPr>
          <w:color w:val="auto"/>
        </w:rPr>
      </w:pPr>
      <w:bookmarkStart w:id="42" w:name="_Toc27966_WPSOffice_Level2"/>
      <w:bookmarkStart w:id="43" w:name="_Toc2960_WPSOffice_Level2"/>
      <w:bookmarkStart w:id="44" w:name="_Toc20350_WPSOffice_Level2"/>
      <w:r>
        <w:rPr>
          <w:color w:val="auto"/>
        </w:rPr>
        <w:t>第</w:t>
      </w:r>
      <w:r>
        <w:rPr>
          <w:rFonts w:hint="eastAsia"/>
          <w:color w:val="auto"/>
        </w:rPr>
        <w:t>6</w:t>
      </w:r>
      <w:r>
        <w:rPr>
          <w:color w:val="auto"/>
        </w:rPr>
        <w:t>条 规划原则</w:t>
      </w:r>
      <w:bookmarkEnd w:id="42"/>
      <w:bookmarkEnd w:id="43"/>
      <w:bookmarkEnd w:id="44"/>
    </w:p>
    <w:p>
      <w:pPr>
        <w:spacing w:line="560" w:lineRule="exact"/>
        <w:ind w:firstLine="602"/>
        <w:rPr>
          <w:color w:val="auto"/>
        </w:rPr>
      </w:pPr>
      <w:bookmarkStart w:id="45" w:name="_Toc26491_WPSOffice_Level3"/>
      <w:bookmarkStart w:id="46" w:name="_Toc541_WPSOffice_Level3"/>
      <w:bookmarkStart w:id="47" w:name="_Toc30976_WPSOffice_Level3"/>
      <w:bookmarkStart w:id="48" w:name="_Toc21154_WPSOffice_Level3"/>
      <w:bookmarkStart w:id="49" w:name="_Toc11838503"/>
      <w:bookmarkStart w:id="50" w:name="_Toc4945_WPSOffice_Level3"/>
      <w:bookmarkStart w:id="51" w:name="_Toc8134_WPSOffice_Level3"/>
      <w:bookmarkStart w:id="52" w:name="_Toc15884_WPSOffice_Level3"/>
      <w:bookmarkStart w:id="53" w:name="_Toc8353_WPSOffice_Level3"/>
      <w:bookmarkStart w:id="54" w:name="_Toc4321_WPSOffice_Level3"/>
      <w:bookmarkStart w:id="55" w:name="_Toc16327_WPSOffice_Level3"/>
      <w:bookmarkStart w:id="56" w:name="_Toc18853_WPSOffice_Level3"/>
      <w:bookmarkStart w:id="57" w:name="_Toc11839814"/>
      <w:bookmarkStart w:id="58" w:name="_Toc30673_WPSOffice_Level3"/>
      <w:bookmarkStart w:id="59" w:name="_Toc10843_WPSOffice_Level3"/>
      <w:r>
        <w:rPr>
          <w:b/>
          <w:bCs/>
          <w:color w:val="auto"/>
        </w:rPr>
        <w:t>政府</w:t>
      </w:r>
      <w:r>
        <w:rPr>
          <w:rFonts w:hint="eastAsia"/>
          <w:b/>
          <w:bCs/>
          <w:color w:val="auto"/>
        </w:rPr>
        <w:t>负责</w:t>
      </w:r>
      <w:r>
        <w:rPr>
          <w:b/>
          <w:bCs/>
          <w:color w:val="auto"/>
        </w:rPr>
        <w:t>，合力发展</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Pr>
          <w:rFonts w:hint="eastAsia"/>
          <w:b/>
          <w:bCs/>
          <w:color w:val="auto"/>
        </w:rPr>
        <w:t>。</w:t>
      </w:r>
      <w:r>
        <w:rPr>
          <w:rFonts w:hint="eastAsia"/>
          <w:color w:val="auto"/>
        </w:rPr>
        <w:t>明确</w:t>
      </w:r>
      <w:r>
        <w:rPr>
          <w:color w:val="auto"/>
        </w:rPr>
        <w:t>养老服务业的特殊公益</w:t>
      </w:r>
      <w:r>
        <w:rPr>
          <w:rFonts w:hint="eastAsia"/>
          <w:color w:val="auto"/>
        </w:rPr>
        <w:t>属</w:t>
      </w:r>
      <w:r>
        <w:rPr>
          <w:color w:val="auto"/>
        </w:rPr>
        <w:t>性</w:t>
      </w:r>
      <w:r>
        <w:rPr>
          <w:rFonts w:hint="eastAsia"/>
          <w:color w:val="auto"/>
        </w:rPr>
        <w:t>，</w:t>
      </w:r>
      <w:r>
        <w:rPr>
          <w:color w:val="auto"/>
        </w:rPr>
        <w:t>坚持党委领导、政府负责</w:t>
      </w:r>
      <w:r>
        <w:rPr>
          <w:rFonts w:hint="eastAsia"/>
          <w:color w:val="auto"/>
        </w:rPr>
        <w:t>，坚持</w:t>
      </w:r>
      <w:r>
        <w:rPr>
          <w:color w:val="auto"/>
        </w:rPr>
        <w:t>企业、社会、家庭和公民参与相结合</w:t>
      </w:r>
      <w:r>
        <w:rPr>
          <w:rFonts w:hint="eastAsia"/>
          <w:color w:val="auto"/>
        </w:rPr>
        <w:t>的原则</w:t>
      </w:r>
      <w:r>
        <w:rPr>
          <w:color w:val="auto"/>
        </w:rPr>
        <w:t>。</w:t>
      </w:r>
    </w:p>
    <w:p>
      <w:pPr>
        <w:spacing w:line="560" w:lineRule="exact"/>
        <w:ind w:firstLine="602"/>
        <w:rPr>
          <w:color w:val="auto"/>
        </w:rPr>
      </w:pPr>
      <w:bookmarkStart w:id="60" w:name="_Toc9476_WPSOffice_Level3"/>
      <w:bookmarkStart w:id="61" w:name="_Toc11838504"/>
      <w:bookmarkStart w:id="62" w:name="_Toc16955_WPSOffice_Level3"/>
      <w:bookmarkStart w:id="63" w:name="_Toc29116_WPSOffice_Level3"/>
      <w:bookmarkStart w:id="64" w:name="_Toc32319_WPSOffice_Level3"/>
      <w:bookmarkStart w:id="65" w:name="_Toc21673_WPSOffice_Level3"/>
      <w:bookmarkStart w:id="66" w:name="_Toc6838_WPSOffice_Level3"/>
      <w:bookmarkStart w:id="67" w:name="_Toc17247_WPSOffice_Level3"/>
      <w:bookmarkStart w:id="68" w:name="_Toc6901_WPSOffice_Level3"/>
      <w:bookmarkStart w:id="69" w:name="_Toc32425_WPSOffice_Level3"/>
      <w:bookmarkStart w:id="70" w:name="_Hlk15485162"/>
      <w:bookmarkStart w:id="71" w:name="_Toc19734_WPSOffice_Level3"/>
      <w:bookmarkStart w:id="72" w:name="_Toc3426_WPSOffice_Level3"/>
      <w:bookmarkStart w:id="73" w:name="_Toc11972_WPSOffice_Level3"/>
      <w:bookmarkStart w:id="74" w:name="_Toc11839815"/>
      <w:bookmarkStart w:id="75" w:name="_Toc31544_WPSOffice_Level3"/>
      <w:r>
        <w:rPr>
          <w:b/>
          <w:bCs/>
          <w:color w:val="auto"/>
        </w:rPr>
        <w:t>以人为本，共享发展</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Pr>
          <w:rFonts w:hint="eastAsia"/>
          <w:b/>
          <w:bCs/>
          <w:color w:val="auto"/>
        </w:rPr>
        <w:t>。</w:t>
      </w:r>
      <w:r>
        <w:rPr>
          <w:rFonts w:hint="eastAsia"/>
          <w:color w:val="auto"/>
        </w:rPr>
        <w:t>以</w:t>
      </w:r>
      <w:r>
        <w:rPr>
          <w:color w:val="auto"/>
        </w:rPr>
        <w:t>维护老年人合法权益</w:t>
      </w:r>
      <w:r>
        <w:rPr>
          <w:rFonts w:hint="eastAsia"/>
          <w:color w:val="auto"/>
        </w:rPr>
        <w:t>为目标，</w:t>
      </w:r>
      <w:r>
        <w:rPr>
          <w:color w:val="auto"/>
        </w:rPr>
        <w:t>以养老服务需求为核心，统筹考虑健康人群和失能失智老年人、残疾人、困境儿童等</w:t>
      </w:r>
      <w:r>
        <w:rPr>
          <w:rFonts w:hint="eastAsia"/>
          <w:color w:val="auto"/>
        </w:rPr>
        <w:t>特殊群体以及其他相关困境人群</w:t>
      </w:r>
      <w:r>
        <w:rPr>
          <w:color w:val="auto"/>
        </w:rPr>
        <w:t>。</w:t>
      </w:r>
    </w:p>
    <w:p>
      <w:pPr>
        <w:spacing w:line="560" w:lineRule="exact"/>
        <w:ind w:firstLine="602"/>
        <w:rPr>
          <w:rFonts w:ascii="Times New Roman" w:hAnsi="Times New Roman" w:cs="Times New Roman"/>
          <w:color w:val="auto"/>
          <w:szCs w:val="30"/>
        </w:rPr>
      </w:pPr>
      <w:bookmarkStart w:id="76" w:name="_Toc16111_WPSOffice_Level3"/>
      <w:bookmarkStart w:id="77" w:name="_Toc11340_WPSOffice_Level3"/>
      <w:bookmarkStart w:id="78" w:name="_Toc31115_WPSOffice_Level3"/>
      <w:bookmarkStart w:id="79" w:name="_Toc20350_WPSOffice_Level3"/>
      <w:bookmarkStart w:id="80" w:name="_Toc7363_WPSOffice_Level3"/>
      <w:bookmarkStart w:id="81" w:name="_Toc25722_WPSOffice_Level3"/>
      <w:bookmarkStart w:id="82" w:name="_Toc11839816"/>
      <w:bookmarkStart w:id="83" w:name="_Toc29412_WPSOffice_Level3"/>
      <w:bookmarkStart w:id="84" w:name="_Toc1790_WPSOffice_Level3"/>
      <w:bookmarkStart w:id="85" w:name="_Toc16235_WPSOffice_Level3"/>
      <w:bookmarkStart w:id="86" w:name="_Toc11838505"/>
      <w:bookmarkStart w:id="87" w:name="_Toc31686_WPSOffice_Level3"/>
      <w:bookmarkStart w:id="88" w:name="_Toc31975_WPSOffice_Level3"/>
      <w:bookmarkStart w:id="89" w:name="_Toc2170_WPSOffice_Level3"/>
      <w:bookmarkStart w:id="90" w:name="_Toc26859_WPSOffice_Level3"/>
      <w:r>
        <w:rPr>
          <w:b/>
          <w:bCs/>
          <w:color w:val="auto"/>
        </w:rPr>
        <w:t>深化改革，创新发展</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Pr>
          <w:rFonts w:hint="eastAsia"/>
          <w:b/>
          <w:bCs/>
          <w:color w:val="auto"/>
        </w:rPr>
        <w:t>。</w:t>
      </w:r>
      <w:r>
        <w:rPr>
          <w:rFonts w:ascii="Times New Roman" w:hAnsi="Times New Roman" w:cs="Times New Roman"/>
          <w:color w:val="auto"/>
          <w:szCs w:val="30"/>
        </w:rPr>
        <w:t>坚持</w:t>
      </w:r>
      <w:r>
        <w:rPr>
          <w:rFonts w:hint="eastAsia" w:ascii="Times New Roman" w:hAnsi="Times New Roman" w:cs="Times New Roman"/>
          <w:color w:val="auto"/>
          <w:szCs w:val="30"/>
        </w:rPr>
        <w:t>首善标准</w:t>
      </w:r>
      <w:r>
        <w:rPr>
          <w:rFonts w:ascii="Times New Roman" w:hAnsi="Times New Roman" w:cs="Times New Roman"/>
          <w:color w:val="auto"/>
          <w:szCs w:val="30"/>
        </w:rPr>
        <w:t>，深化简政放权、放管结合、优化服务。推动探索市场化、专业化、标准化的养老服务运营模式，持续</w:t>
      </w:r>
      <w:r>
        <w:rPr>
          <w:rFonts w:hint="eastAsia" w:ascii="Times New Roman" w:hAnsi="Times New Roman" w:cs="Times New Roman"/>
          <w:color w:val="auto"/>
          <w:szCs w:val="30"/>
        </w:rPr>
        <w:t>完善北京特色</w:t>
      </w:r>
      <w:r>
        <w:rPr>
          <w:rFonts w:ascii="Times New Roman" w:hAnsi="Times New Roman" w:cs="Times New Roman"/>
          <w:color w:val="auto"/>
          <w:szCs w:val="30"/>
        </w:rPr>
        <w:t>养老服务体系。</w:t>
      </w:r>
      <w:bookmarkStart w:id="91" w:name="_Toc24900_WPSOffice_Level3"/>
      <w:bookmarkStart w:id="92" w:name="_Toc5106_WPSOffice_Level3"/>
      <w:bookmarkStart w:id="93" w:name="_Toc27098_WPSOffice_Level3"/>
      <w:bookmarkStart w:id="94" w:name="_Toc11838506"/>
      <w:bookmarkStart w:id="95" w:name="_Toc3493_WPSOffice_Level3"/>
      <w:bookmarkStart w:id="96" w:name="_Toc569_WPSOffice_Level3"/>
      <w:bookmarkStart w:id="97" w:name="_Toc11839817"/>
      <w:bookmarkStart w:id="98" w:name="_Toc2835_WPSOffice_Level3"/>
      <w:bookmarkStart w:id="99" w:name="_Toc7816_WPSOffice_Level3"/>
      <w:bookmarkStart w:id="100" w:name="_Toc17948_WPSOffice_Level3"/>
      <w:bookmarkStart w:id="101" w:name="_Toc15222_WPSOffice_Level3"/>
      <w:bookmarkStart w:id="102" w:name="_Toc26075_WPSOffice_Level3"/>
      <w:bookmarkStart w:id="103" w:name="_Toc4778_WPSOffice_Level3"/>
      <w:bookmarkStart w:id="104" w:name="_Toc32194_WPSOffice_Level3"/>
      <w:bookmarkStart w:id="105" w:name="_Toc27452_WPSOffice_Level3"/>
    </w:p>
    <w:p>
      <w:pPr>
        <w:spacing w:line="560" w:lineRule="exact"/>
        <w:ind w:firstLine="602"/>
        <w:rPr>
          <w:color w:val="auto"/>
        </w:rPr>
      </w:pPr>
      <w:r>
        <w:rPr>
          <w:b/>
          <w:bCs/>
          <w:color w:val="auto"/>
        </w:rPr>
        <w:t>功能复合，协调发展</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Pr>
          <w:rFonts w:hint="eastAsia"/>
          <w:b/>
          <w:bCs/>
          <w:color w:val="auto"/>
        </w:rPr>
        <w:t>。</w:t>
      </w:r>
      <w:r>
        <w:rPr>
          <w:rFonts w:ascii="Times New Roman" w:hAnsi="Times New Roman" w:cs="Times New Roman"/>
          <w:color w:val="auto"/>
          <w:szCs w:val="30"/>
        </w:rPr>
        <w:t>坚持从首都市情、社情、民情出发，提高居家、社区和机构养老服务的衔接性，</w:t>
      </w:r>
      <w:r>
        <w:rPr>
          <w:rFonts w:hint="eastAsia" w:ascii="Times New Roman" w:hAnsi="Times New Roman" w:cs="Times New Roman"/>
          <w:color w:val="auto"/>
          <w:szCs w:val="30"/>
        </w:rPr>
        <w:t>提升</w:t>
      </w:r>
      <w:r>
        <w:rPr>
          <w:rFonts w:ascii="Times New Roman" w:hAnsi="Times New Roman" w:cs="Times New Roman"/>
          <w:color w:val="auto"/>
          <w:szCs w:val="30"/>
        </w:rPr>
        <w:t>养老服务产业、事业和慈善的协调性以及城区、郊区和农村养老服务的均衡性。</w:t>
      </w:r>
    </w:p>
    <w:p>
      <w:pPr>
        <w:spacing w:line="560" w:lineRule="exact"/>
        <w:ind w:firstLine="602"/>
        <w:rPr>
          <w:color w:val="auto"/>
        </w:rPr>
      </w:pPr>
      <w:bookmarkStart w:id="106" w:name="_Toc28686_WPSOffice_Level3"/>
      <w:bookmarkStart w:id="107" w:name="_Toc11838508"/>
      <w:bookmarkStart w:id="108" w:name="_Toc32017_WPSOffice_Level3"/>
      <w:bookmarkStart w:id="109" w:name="_Toc3369_WPSOffice_Level3"/>
      <w:bookmarkStart w:id="110" w:name="_Toc27966_WPSOffice_Level3"/>
      <w:bookmarkStart w:id="111" w:name="_Toc20889_WPSOffice_Level3"/>
      <w:bookmarkStart w:id="112" w:name="_Toc2179_WPSOffice_Level3"/>
      <w:bookmarkStart w:id="113" w:name="_Toc11839819"/>
      <w:bookmarkStart w:id="114" w:name="_Toc20700_WPSOffice_Level3"/>
      <w:bookmarkStart w:id="115" w:name="_Toc20617_WPSOffice_Level3"/>
      <w:bookmarkStart w:id="116" w:name="_Toc13396_WPSOffice_Level3"/>
      <w:bookmarkStart w:id="117" w:name="_Toc25485_WPSOffice_Level3"/>
      <w:bookmarkStart w:id="118" w:name="_Toc12948_WPSOffice_Level3"/>
      <w:bookmarkStart w:id="119" w:name="_Toc21507_WPSOffice_Level3"/>
      <w:bookmarkStart w:id="120" w:name="_Toc16364_WPSOffice_Level3"/>
      <w:r>
        <w:rPr>
          <w:b/>
          <w:bCs/>
          <w:color w:val="auto"/>
        </w:rPr>
        <w:t>区域合作，开放发展</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Pr>
          <w:rFonts w:hint="eastAsia"/>
          <w:b/>
          <w:bCs/>
          <w:color w:val="auto"/>
        </w:rPr>
        <w:t>。</w:t>
      </w:r>
      <w:r>
        <w:rPr>
          <w:rFonts w:hint="eastAsia"/>
          <w:color w:val="auto"/>
        </w:rPr>
        <w:t>鼓励</w:t>
      </w:r>
      <w:r>
        <w:rPr>
          <w:color w:val="auto"/>
        </w:rPr>
        <w:t>北京与津冀区域养老服务协同发展，充分利用北京与国内对口合作城市的</w:t>
      </w:r>
      <w:r>
        <w:rPr>
          <w:rFonts w:hint="eastAsia"/>
          <w:color w:val="auto"/>
        </w:rPr>
        <w:t>资源</w:t>
      </w:r>
      <w:r>
        <w:rPr>
          <w:color w:val="auto"/>
        </w:rPr>
        <w:t>优势，打造</w:t>
      </w:r>
      <w:r>
        <w:rPr>
          <w:rFonts w:hint="eastAsia"/>
          <w:color w:val="auto"/>
        </w:rPr>
        <w:t>一流的</w:t>
      </w:r>
      <w:r>
        <w:rPr>
          <w:color w:val="auto"/>
        </w:rPr>
        <w:t>养老服务示范基地和养老</w:t>
      </w:r>
      <w:r>
        <w:rPr>
          <w:rFonts w:hint="eastAsia"/>
          <w:color w:val="auto"/>
        </w:rPr>
        <w:t>服务协同发展区域</w:t>
      </w:r>
      <w:r>
        <w:rPr>
          <w:color w:val="auto"/>
        </w:rPr>
        <w:t>。</w:t>
      </w:r>
    </w:p>
    <w:p>
      <w:pPr>
        <w:pStyle w:val="4"/>
        <w:spacing w:before="205" w:after="205" w:line="560" w:lineRule="exact"/>
        <w:rPr>
          <w:color w:val="auto"/>
        </w:rPr>
      </w:pPr>
      <w:bookmarkStart w:id="121" w:name="_Toc24172_WPSOffice_Level2"/>
      <w:bookmarkStart w:id="122" w:name="_Toc8649_WPSOffice_Level2"/>
      <w:bookmarkStart w:id="123" w:name="_Toc569_WPSOffice_Level2"/>
      <w:bookmarkStart w:id="124" w:name="_Toc532554146"/>
      <w:bookmarkStart w:id="125" w:name="_Toc23805_WPSOffice_Level1"/>
      <w:bookmarkStart w:id="126" w:name="_Toc32425_WPSOffice_Level1"/>
      <w:bookmarkStart w:id="127" w:name="_Toc16470"/>
      <w:bookmarkStart w:id="128" w:name="_Toc28600_WPSOffice_Level1"/>
      <w:r>
        <w:rPr>
          <w:color w:val="auto"/>
        </w:rPr>
        <w:t>第</w:t>
      </w:r>
      <w:r>
        <w:rPr>
          <w:rFonts w:hint="eastAsia"/>
          <w:color w:val="auto"/>
        </w:rPr>
        <w:t>7</w:t>
      </w:r>
      <w:r>
        <w:rPr>
          <w:color w:val="auto"/>
        </w:rPr>
        <w:t>条 规划目标</w:t>
      </w:r>
      <w:bookmarkEnd w:id="121"/>
      <w:bookmarkEnd w:id="122"/>
      <w:bookmarkEnd w:id="123"/>
    </w:p>
    <w:p>
      <w:pPr>
        <w:spacing w:line="560" w:lineRule="exact"/>
        <w:ind w:firstLine="600"/>
        <w:rPr>
          <w:color w:val="auto"/>
        </w:rPr>
      </w:pPr>
      <w:bookmarkStart w:id="129" w:name="_Hlk38378912"/>
      <w:r>
        <w:rPr>
          <w:color w:val="auto"/>
        </w:rPr>
        <w:t>围绕国际一流的和谐宜居之都及老年友好型城市的建设目标，坚持老残儿一体发展原则，全面建成全面覆盖、城乡统筹、</w:t>
      </w:r>
      <w:r>
        <w:rPr>
          <w:rFonts w:hint="eastAsia"/>
          <w:color w:val="auto"/>
        </w:rPr>
        <w:t>独具</w:t>
      </w:r>
      <w:r>
        <w:rPr>
          <w:color w:val="auto"/>
        </w:rPr>
        <w:t>北京特色的</w:t>
      </w:r>
      <w:r>
        <w:rPr>
          <w:rFonts w:hint="eastAsia"/>
          <w:color w:val="auto"/>
        </w:rPr>
        <w:t>“三边四级”精准居家社区养老服务体系。</w:t>
      </w:r>
    </w:p>
    <w:bookmarkEnd w:id="129"/>
    <w:p>
      <w:pPr>
        <w:spacing w:line="560" w:lineRule="exact"/>
        <w:ind w:firstLine="600"/>
        <w:rPr>
          <w:color w:val="auto"/>
        </w:rPr>
      </w:pPr>
      <w:bookmarkStart w:id="130" w:name="_Hlk16595775"/>
      <w:r>
        <w:rPr>
          <w:color w:val="auto"/>
        </w:rPr>
        <w:t>到2025年，</w:t>
      </w:r>
      <w:bookmarkEnd w:id="130"/>
      <w:r>
        <w:rPr>
          <w:rFonts w:hint="eastAsia"/>
          <w:color w:val="auto"/>
        </w:rPr>
        <w:t>全市千人养老床位数达到7张，</w:t>
      </w:r>
      <w:r>
        <w:rPr>
          <w:color w:val="auto"/>
        </w:rPr>
        <w:t>建立起与北京市社会经济发展水平相当、城乡一体</w:t>
      </w:r>
      <w:r>
        <w:rPr>
          <w:rFonts w:hint="eastAsia"/>
          <w:color w:val="auto"/>
        </w:rPr>
        <w:t>的精准养老服务体系。实现养老服务</w:t>
      </w:r>
      <w:r>
        <w:rPr>
          <w:color w:val="auto"/>
        </w:rPr>
        <w:t>设施</w:t>
      </w:r>
      <w:r>
        <w:rPr>
          <w:rFonts w:hint="eastAsia"/>
          <w:color w:val="auto"/>
        </w:rPr>
        <w:t>均衡布局，实现</w:t>
      </w:r>
      <w:r>
        <w:rPr>
          <w:color w:val="auto"/>
        </w:rPr>
        <w:t>街乡镇养老照料中心和社区养老服务驿站全覆盖，街</w:t>
      </w:r>
      <w:r>
        <w:rPr>
          <w:rFonts w:hint="eastAsia"/>
          <w:color w:val="auto"/>
        </w:rPr>
        <w:t>乡</w:t>
      </w:r>
      <w:r>
        <w:rPr>
          <w:color w:val="auto"/>
        </w:rPr>
        <w:t>镇养老服务联合体和</w:t>
      </w:r>
      <w:r>
        <w:rPr>
          <w:rFonts w:hint="eastAsia"/>
          <w:color w:val="auto"/>
        </w:rPr>
        <w:t>市区</w:t>
      </w:r>
      <w:r>
        <w:rPr>
          <w:color w:val="auto"/>
        </w:rPr>
        <w:t>养老服务联动支援机制</w:t>
      </w:r>
      <w:r>
        <w:rPr>
          <w:rFonts w:hint="eastAsia"/>
          <w:color w:val="auto"/>
        </w:rPr>
        <w:t>不断</w:t>
      </w:r>
      <w:r>
        <w:rPr>
          <w:color w:val="auto"/>
        </w:rPr>
        <w:t>推进</w:t>
      </w:r>
      <w:r>
        <w:rPr>
          <w:rFonts w:hint="eastAsia"/>
          <w:color w:val="auto"/>
        </w:rPr>
        <w:t>，京津冀区域养老服务协同发展深化拓展。</w:t>
      </w:r>
    </w:p>
    <w:p>
      <w:pPr>
        <w:spacing w:line="560" w:lineRule="exact"/>
        <w:ind w:firstLine="600"/>
        <w:rPr>
          <w:color w:val="auto"/>
        </w:rPr>
      </w:pPr>
      <w:r>
        <w:rPr>
          <w:color w:val="auto"/>
        </w:rPr>
        <w:t>到2035年，全市千人养老床位数达到9.5张</w:t>
      </w:r>
      <w:r>
        <w:rPr>
          <w:rFonts w:hint="eastAsia"/>
          <w:color w:val="auto"/>
        </w:rPr>
        <w:t>，</w:t>
      </w:r>
      <w:r>
        <w:rPr>
          <w:color w:val="auto"/>
        </w:rPr>
        <w:t>全面建立街</w:t>
      </w:r>
      <w:r>
        <w:rPr>
          <w:rFonts w:hint="eastAsia"/>
          <w:color w:val="auto"/>
        </w:rPr>
        <w:t>乡</w:t>
      </w:r>
      <w:r>
        <w:rPr>
          <w:color w:val="auto"/>
        </w:rPr>
        <w:t>镇养老服务联合体和</w:t>
      </w:r>
      <w:r>
        <w:rPr>
          <w:rFonts w:hint="eastAsia"/>
          <w:color w:val="auto"/>
        </w:rPr>
        <w:t>市区</w:t>
      </w:r>
      <w:r>
        <w:rPr>
          <w:color w:val="auto"/>
        </w:rPr>
        <w:t>养老服务联动支援机制，失能失智老年人90%以上可获得优质高效的长期照护服务，老年人可享受便捷可及、</w:t>
      </w:r>
      <w:r>
        <w:rPr>
          <w:rFonts w:hint="eastAsia"/>
          <w:color w:val="auto"/>
        </w:rPr>
        <w:t>品质较高</w:t>
      </w:r>
      <w:r>
        <w:rPr>
          <w:color w:val="auto"/>
        </w:rPr>
        <w:t>的养老服务</w:t>
      </w:r>
      <w:r>
        <w:rPr>
          <w:rFonts w:hint="eastAsia"/>
          <w:color w:val="auto"/>
        </w:rPr>
        <w:t>。</w:t>
      </w:r>
    </w:p>
    <w:p>
      <w:pPr>
        <w:pStyle w:val="15"/>
        <w:spacing w:after="205" w:line="560" w:lineRule="exact"/>
        <w:rPr>
          <w:color w:val="auto"/>
        </w:rPr>
      </w:pPr>
      <w:r>
        <w:rPr>
          <w:color w:val="auto"/>
        </w:rPr>
        <w:br w:type="page"/>
      </w:r>
      <w:bookmarkStart w:id="131" w:name="_Hlk45264165"/>
      <w:r>
        <w:rPr>
          <w:rFonts w:hint="eastAsia"/>
          <w:color w:val="auto"/>
        </w:rPr>
        <w:t>表</w:t>
      </w:r>
      <w:r>
        <w:rPr>
          <w:color w:val="auto"/>
        </w:rPr>
        <w:t>1 北京养老服务发展（20</w:t>
      </w:r>
      <w:r>
        <w:rPr>
          <w:rFonts w:hint="eastAsia"/>
          <w:color w:val="auto"/>
        </w:rPr>
        <w:t>21</w:t>
      </w:r>
      <w:r>
        <w:rPr>
          <w:color w:val="auto"/>
        </w:rPr>
        <w:t>年</w:t>
      </w:r>
      <w:r>
        <w:rPr>
          <w:rFonts w:hint="eastAsia"/>
          <w:color w:val="auto"/>
        </w:rPr>
        <w:t>-</w:t>
      </w:r>
      <w:r>
        <w:rPr>
          <w:color w:val="auto"/>
        </w:rPr>
        <w:t>2035年）指标</w:t>
      </w:r>
    </w:p>
    <w:tbl>
      <w:tblPr>
        <w:tblStyle w:val="39"/>
        <w:tblW w:w="8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886"/>
        <w:gridCol w:w="1276"/>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黑体" w:hAnsi="黑体" w:eastAsia="黑体"/>
                <w:color w:val="auto"/>
                <w:sz w:val="24"/>
              </w:rPr>
            </w:pPr>
            <w:r>
              <w:rPr>
                <w:rFonts w:hint="eastAsia" w:ascii="黑体" w:hAnsi="黑体" w:eastAsia="黑体"/>
                <w:color w:val="auto"/>
                <w:sz w:val="24"/>
              </w:rPr>
              <w:t>序</w:t>
            </w:r>
            <w:bookmarkEnd w:id="124"/>
            <w:bookmarkEnd w:id="125"/>
            <w:bookmarkEnd w:id="126"/>
            <w:bookmarkEnd w:id="127"/>
            <w:bookmarkEnd w:id="128"/>
            <w:r>
              <w:rPr>
                <w:rFonts w:hint="eastAsia" w:ascii="黑体" w:hAnsi="黑体" w:eastAsia="黑体"/>
                <w:color w:val="auto"/>
                <w:sz w:val="24"/>
              </w:rPr>
              <w:t>号</w:t>
            </w:r>
          </w:p>
        </w:tc>
        <w:tc>
          <w:tcPr>
            <w:tcW w:w="4886" w:type="dxa"/>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黑体" w:hAnsi="黑体" w:eastAsia="黑体"/>
                <w:color w:val="auto"/>
                <w:sz w:val="24"/>
              </w:rPr>
            </w:pPr>
            <w:r>
              <w:rPr>
                <w:rFonts w:hint="eastAsia" w:ascii="黑体" w:hAnsi="黑体" w:eastAsia="黑体"/>
                <w:color w:val="auto"/>
                <w:sz w:val="24"/>
              </w:rPr>
              <w:t>指标</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黑体" w:hAnsi="黑体" w:eastAsia="黑体"/>
                <w:color w:val="auto"/>
                <w:sz w:val="24"/>
              </w:rPr>
            </w:pPr>
            <w:r>
              <w:rPr>
                <w:rFonts w:hint="eastAsia" w:ascii="黑体" w:hAnsi="黑体" w:eastAsia="黑体"/>
                <w:color w:val="auto"/>
                <w:sz w:val="24"/>
              </w:rPr>
              <w:t>2025年</w:t>
            </w:r>
          </w:p>
        </w:tc>
        <w:tc>
          <w:tcPr>
            <w:tcW w:w="1267" w:type="dxa"/>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黑体" w:hAnsi="黑体" w:eastAsia="黑体"/>
                <w:color w:val="auto"/>
                <w:sz w:val="24"/>
              </w:rPr>
            </w:pPr>
            <w:r>
              <w:rPr>
                <w:rFonts w:hint="eastAsia" w:ascii="黑体" w:hAnsi="黑体" w:eastAsia="黑体"/>
                <w:color w:val="auto"/>
                <w:sz w:val="24"/>
              </w:rPr>
              <w:t>2035年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黑体" w:hAnsi="黑体"/>
                <w:color w:val="auto"/>
                <w:sz w:val="21"/>
                <w:szCs w:val="21"/>
              </w:rPr>
            </w:pPr>
            <w:r>
              <w:rPr>
                <w:rFonts w:hint="eastAsia" w:ascii="黑体" w:hAnsi="黑体"/>
                <w:color w:val="auto"/>
                <w:sz w:val="21"/>
                <w:szCs w:val="21"/>
              </w:rPr>
              <w:t>1</w:t>
            </w:r>
          </w:p>
        </w:tc>
        <w:tc>
          <w:tcPr>
            <w:tcW w:w="4886" w:type="dxa"/>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黑体" w:hAnsi="黑体"/>
                <w:color w:val="auto"/>
                <w:sz w:val="21"/>
                <w:szCs w:val="21"/>
              </w:rPr>
            </w:pPr>
            <w:r>
              <w:rPr>
                <w:rFonts w:hint="eastAsia" w:ascii="黑体" w:hAnsi="黑体"/>
                <w:color w:val="auto"/>
                <w:sz w:val="21"/>
                <w:szCs w:val="21"/>
              </w:rPr>
              <w:t>每千人拥有养老床位数（张）</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黑体" w:hAnsi="黑体"/>
                <w:color w:val="auto"/>
                <w:sz w:val="21"/>
                <w:szCs w:val="21"/>
              </w:rPr>
            </w:pPr>
            <w:r>
              <w:rPr>
                <w:rFonts w:hint="eastAsia" w:ascii="黑体" w:hAnsi="黑体"/>
                <w:color w:val="auto"/>
                <w:sz w:val="21"/>
                <w:szCs w:val="21"/>
              </w:rPr>
              <w:t>≥7</w:t>
            </w:r>
          </w:p>
        </w:tc>
        <w:tc>
          <w:tcPr>
            <w:tcW w:w="1267" w:type="dxa"/>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黑体" w:hAnsi="黑体"/>
                <w:color w:val="auto"/>
                <w:sz w:val="21"/>
                <w:szCs w:val="21"/>
              </w:rPr>
            </w:pPr>
            <w:r>
              <w:rPr>
                <w:rFonts w:hint="eastAsia" w:ascii="黑体" w:hAnsi="黑体"/>
                <w:color w:val="auto"/>
                <w:sz w:val="21"/>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黑体" w:hAnsi="黑体"/>
                <w:color w:val="auto"/>
                <w:sz w:val="21"/>
                <w:szCs w:val="21"/>
              </w:rPr>
            </w:pPr>
            <w:r>
              <w:rPr>
                <w:rFonts w:hint="eastAsia" w:ascii="黑体" w:hAnsi="黑体"/>
                <w:color w:val="auto"/>
                <w:sz w:val="21"/>
                <w:szCs w:val="21"/>
              </w:rPr>
              <w:t>2</w:t>
            </w:r>
          </w:p>
        </w:tc>
        <w:tc>
          <w:tcPr>
            <w:tcW w:w="4886" w:type="dxa"/>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黑体" w:hAnsi="黑体"/>
                <w:color w:val="auto"/>
                <w:sz w:val="21"/>
                <w:szCs w:val="21"/>
              </w:rPr>
            </w:pPr>
            <w:r>
              <w:rPr>
                <w:rFonts w:hint="eastAsia" w:ascii="黑体" w:hAnsi="黑体"/>
                <w:color w:val="auto"/>
                <w:sz w:val="21"/>
                <w:szCs w:val="21"/>
              </w:rPr>
              <w:t>养老床位总数（万张）</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黑体" w:hAnsi="黑体"/>
                <w:color w:val="auto"/>
                <w:sz w:val="21"/>
                <w:szCs w:val="21"/>
              </w:rPr>
            </w:pPr>
            <w:r>
              <w:rPr>
                <w:rFonts w:hint="eastAsia" w:ascii="黑体" w:hAnsi="黑体"/>
                <w:color w:val="auto"/>
                <w:sz w:val="21"/>
                <w:szCs w:val="21"/>
              </w:rPr>
              <w:t>15.3</w:t>
            </w:r>
          </w:p>
        </w:tc>
        <w:tc>
          <w:tcPr>
            <w:tcW w:w="1267" w:type="dxa"/>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黑体" w:hAnsi="黑体"/>
                <w:color w:val="auto"/>
                <w:sz w:val="21"/>
                <w:szCs w:val="21"/>
              </w:rPr>
            </w:pPr>
            <w:r>
              <w:rPr>
                <w:rFonts w:hint="eastAsia" w:ascii="黑体" w:hAnsi="黑体"/>
                <w:color w:val="auto"/>
                <w:sz w:val="21"/>
                <w:szCs w:val="21"/>
              </w:rPr>
              <w:t>21.</w:t>
            </w:r>
            <w:r>
              <w:rPr>
                <w:rFonts w:ascii="黑体" w:hAnsi="黑体"/>
                <w:color w:val="auto"/>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黑体" w:hAnsi="黑体"/>
                <w:color w:val="auto"/>
                <w:sz w:val="21"/>
                <w:szCs w:val="21"/>
              </w:rPr>
            </w:pPr>
            <w:r>
              <w:rPr>
                <w:rFonts w:hint="eastAsia" w:ascii="黑体" w:hAnsi="黑体"/>
                <w:color w:val="auto"/>
                <w:sz w:val="21"/>
                <w:szCs w:val="21"/>
              </w:rPr>
              <w:t>3</w:t>
            </w:r>
          </w:p>
        </w:tc>
        <w:tc>
          <w:tcPr>
            <w:tcW w:w="4886" w:type="dxa"/>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黑体" w:hAnsi="黑体"/>
                <w:color w:val="auto"/>
                <w:sz w:val="21"/>
                <w:szCs w:val="21"/>
              </w:rPr>
            </w:pPr>
            <w:r>
              <w:rPr>
                <w:rFonts w:hint="eastAsia" w:ascii="黑体" w:hAnsi="黑体"/>
                <w:color w:val="auto"/>
                <w:sz w:val="21"/>
                <w:szCs w:val="21"/>
              </w:rPr>
              <w:t>建成并运营社区养老服务驿站/农村幸福晚年驿站</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黑体" w:hAnsi="黑体"/>
                <w:color w:val="auto"/>
                <w:sz w:val="21"/>
                <w:szCs w:val="21"/>
              </w:rPr>
            </w:pPr>
            <w:r>
              <w:rPr>
                <w:rFonts w:hint="eastAsia" w:ascii="黑体" w:hAnsi="黑体"/>
                <w:color w:val="auto"/>
                <w:sz w:val="21"/>
                <w:szCs w:val="21"/>
              </w:rPr>
              <w:t>1200个</w:t>
            </w:r>
          </w:p>
        </w:tc>
        <w:tc>
          <w:tcPr>
            <w:tcW w:w="1267" w:type="dxa"/>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黑体" w:hAnsi="黑体"/>
                <w:color w:val="auto"/>
                <w:sz w:val="21"/>
                <w:szCs w:val="21"/>
              </w:rPr>
            </w:pPr>
            <w:r>
              <w:rPr>
                <w:rFonts w:hint="eastAsia" w:ascii="黑体" w:hAnsi="黑体"/>
                <w:color w:val="auto"/>
                <w:sz w:val="21"/>
                <w:szCs w:val="21"/>
              </w:rPr>
              <w:t>≥1600个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黑体" w:hAnsi="黑体"/>
                <w:color w:val="auto"/>
                <w:sz w:val="21"/>
                <w:szCs w:val="21"/>
              </w:rPr>
            </w:pPr>
            <w:r>
              <w:rPr>
                <w:rFonts w:hint="eastAsia" w:ascii="黑体" w:hAnsi="黑体"/>
                <w:color w:val="auto"/>
                <w:sz w:val="21"/>
                <w:szCs w:val="21"/>
              </w:rPr>
              <w:t>4</w:t>
            </w:r>
          </w:p>
        </w:tc>
        <w:tc>
          <w:tcPr>
            <w:tcW w:w="4886" w:type="dxa"/>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黑体" w:hAnsi="黑体"/>
                <w:color w:val="auto"/>
                <w:sz w:val="21"/>
                <w:szCs w:val="21"/>
              </w:rPr>
            </w:pPr>
            <w:r>
              <w:rPr>
                <w:rFonts w:hint="eastAsia" w:ascii="黑体" w:hAnsi="黑体" w:cs="宋体"/>
                <w:color w:val="auto"/>
                <w:sz w:val="21"/>
                <w:szCs w:val="21"/>
              </w:rPr>
              <w:t>建成并运营养老照料中心</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黑体" w:hAnsi="黑体"/>
                <w:color w:val="auto"/>
                <w:sz w:val="21"/>
                <w:szCs w:val="21"/>
              </w:rPr>
            </w:pPr>
            <w:r>
              <w:rPr>
                <w:rFonts w:hint="eastAsia" w:ascii="黑体" w:hAnsi="黑体"/>
                <w:color w:val="auto"/>
                <w:sz w:val="21"/>
                <w:szCs w:val="21"/>
              </w:rPr>
              <w:t>280个</w:t>
            </w:r>
          </w:p>
        </w:tc>
        <w:tc>
          <w:tcPr>
            <w:tcW w:w="1267" w:type="dxa"/>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黑体" w:hAnsi="黑体"/>
                <w:color w:val="auto"/>
                <w:sz w:val="21"/>
                <w:szCs w:val="21"/>
              </w:rPr>
            </w:pPr>
            <w:r>
              <w:rPr>
                <w:rFonts w:hint="eastAsia" w:ascii="黑体" w:hAnsi="黑体"/>
                <w:color w:val="auto"/>
                <w:sz w:val="21"/>
                <w:szCs w:val="21"/>
              </w:rPr>
              <w:t>≥380个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黑体" w:hAnsi="黑体"/>
                <w:color w:val="auto"/>
                <w:sz w:val="21"/>
                <w:szCs w:val="21"/>
              </w:rPr>
            </w:pPr>
            <w:r>
              <w:rPr>
                <w:rFonts w:hint="eastAsia" w:ascii="黑体" w:hAnsi="黑体"/>
                <w:color w:val="auto"/>
                <w:sz w:val="21"/>
                <w:szCs w:val="21"/>
              </w:rPr>
              <w:t>5</w:t>
            </w:r>
          </w:p>
        </w:tc>
        <w:tc>
          <w:tcPr>
            <w:tcW w:w="4886" w:type="dxa"/>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黑体" w:hAnsi="黑体" w:cs="宋体"/>
                <w:color w:val="auto"/>
                <w:sz w:val="21"/>
                <w:szCs w:val="21"/>
              </w:rPr>
            </w:pPr>
            <w:r>
              <w:rPr>
                <w:rFonts w:hint="eastAsia" w:ascii="黑体" w:hAnsi="黑体" w:cs="宋体"/>
                <w:color w:val="auto"/>
                <w:sz w:val="21"/>
                <w:szCs w:val="21"/>
              </w:rPr>
              <w:t>千人养老服务设施建筑面积（平方米）</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黑体" w:hAnsi="黑体"/>
                <w:color w:val="auto"/>
                <w:sz w:val="21"/>
                <w:szCs w:val="21"/>
              </w:rPr>
            </w:pPr>
            <w:r>
              <w:rPr>
                <w:rFonts w:hint="eastAsia" w:ascii="黑体" w:hAnsi="黑体"/>
                <w:color w:val="auto"/>
                <w:sz w:val="21"/>
                <w:szCs w:val="21"/>
              </w:rPr>
              <w:t>≥352</w:t>
            </w:r>
          </w:p>
        </w:tc>
        <w:tc>
          <w:tcPr>
            <w:tcW w:w="1267" w:type="dxa"/>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黑体" w:hAnsi="黑体"/>
                <w:color w:val="auto"/>
                <w:sz w:val="21"/>
                <w:szCs w:val="21"/>
              </w:rPr>
            </w:pPr>
            <w:r>
              <w:rPr>
                <w:rFonts w:hint="eastAsia" w:ascii="黑体" w:hAnsi="黑体"/>
                <w:color w:val="auto"/>
                <w:sz w:val="21"/>
                <w:szCs w:val="21"/>
              </w:rPr>
              <w:t>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黑体" w:hAnsi="黑体"/>
                <w:color w:val="auto"/>
                <w:sz w:val="21"/>
                <w:szCs w:val="21"/>
              </w:rPr>
            </w:pPr>
            <w:r>
              <w:rPr>
                <w:rFonts w:hint="eastAsia" w:ascii="黑体" w:hAnsi="黑体"/>
                <w:color w:val="auto"/>
                <w:sz w:val="21"/>
                <w:szCs w:val="21"/>
              </w:rPr>
              <w:t>6</w:t>
            </w:r>
          </w:p>
        </w:tc>
        <w:tc>
          <w:tcPr>
            <w:tcW w:w="4886" w:type="dxa"/>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黑体" w:hAnsi="黑体"/>
                <w:color w:val="auto"/>
                <w:sz w:val="21"/>
                <w:szCs w:val="21"/>
              </w:rPr>
            </w:pPr>
            <w:r>
              <w:rPr>
                <w:rFonts w:hint="eastAsia" w:ascii="黑体" w:hAnsi="黑体"/>
                <w:color w:val="auto"/>
                <w:sz w:val="21"/>
                <w:szCs w:val="21"/>
              </w:rPr>
              <w:t>养老机构医养结合覆盖率</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黑体" w:hAnsi="黑体"/>
                <w:color w:val="auto"/>
                <w:sz w:val="21"/>
                <w:szCs w:val="21"/>
              </w:rPr>
            </w:pPr>
            <w:r>
              <w:rPr>
                <w:rFonts w:hint="eastAsia" w:ascii="黑体" w:hAnsi="黑体"/>
                <w:color w:val="auto"/>
                <w:sz w:val="21"/>
                <w:szCs w:val="21"/>
              </w:rPr>
              <w:t>100%</w:t>
            </w:r>
          </w:p>
        </w:tc>
        <w:tc>
          <w:tcPr>
            <w:tcW w:w="1267" w:type="dxa"/>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黑体" w:hAnsi="黑体"/>
                <w:color w:val="auto"/>
                <w:sz w:val="21"/>
                <w:szCs w:val="21"/>
              </w:rPr>
            </w:pPr>
            <w:r>
              <w:rPr>
                <w:rFonts w:hint="eastAsia" w:ascii="黑体" w:hAnsi="黑体"/>
                <w:color w:val="auto"/>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黑体" w:hAnsi="黑体"/>
                <w:color w:val="auto"/>
                <w:sz w:val="21"/>
                <w:szCs w:val="21"/>
              </w:rPr>
            </w:pPr>
            <w:r>
              <w:rPr>
                <w:rFonts w:hint="eastAsia" w:ascii="黑体" w:hAnsi="黑体"/>
                <w:color w:val="auto"/>
                <w:sz w:val="21"/>
                <w:szCs w:val="21"/>
              </w:rPr>
              <w:t>7</w:t>
            </w:r>
          </w:p>
        </w:tc>
        <w:tc>
          <w:tcPr>
            <w:tcW w:w="4886" w:type="dxa"/>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黑体" w:hAnsi="黑体"/>
                <w:color w:val="auto"/>
                <w:sz w:val="21"/>
                <w:szCs w:val="21"/>
              </w:rPr>
            </w:pPr>
            <w:r>
              <w:rPr>
                <w:rFonts w:hint="eastAsia" w:ascii="黑体" w:hAnsi="黑体"/>
                <w:color w:val="auto"/>
                <w:sz w:val="21"/>
                <w:szCs w:val="21"/>
              </w:rPr>
              <w:t>护理型床位比重</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黑体" w:hAnsi="黑体"/>
                <w:color w:val="auto"/>
                <w:sz w:val="21"/>
                <w:szCs w:val="21"/>
              </w:rPr>
            </w:pPr>
            <w:r>
              <w:rPr>
                <w:rFonts w:hint="eastAsia" w:ascii="黑体" w:hAnsi="黑体"/>
                <w:color w:val="auto"/>
                <w:sz w:val="21"/>
                <w:szCs w:val="21"/>
              </w:rPr>
              <w:t>60%</w:t>
            </w:r>
          </w:p>
        </w:tc>
        <w:tc>
          <w:tcPr>
            <w:tcW w:w="1267" w:type="dxa"/>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黑体" w:hAnsi="黑体"/>
                <w:color w:val="auto"/>
                <w:sz w:val="21"/>
                <w:szCs w:val="21"/>
              </w:rPr>
            </w:pPr>
            <w:r>
              <w:rPr>
                <w:rFonts w:hint="eastAsia" w:ascii="黑体" w:hAnsi="黑体"/>
                <w:color w:val="auto"/>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黑体" w:hAnsi="黑体"/>
                <w:color w:val="auto"/>
                <w:sz w:val="21"/>
                <w:szCs w:val="21"/>
              </w:rPr>
            </w:pPr>
            <w:r>
              <w:rPr>
                <w:rFonts w:hint="eastAsia" w:ascii="黑体" w:hAnsi="黑体"/>
                <w:color w:val="auto"/>
                <w:sz w:val="21"/>
                <w:szCs w:val="21"/>
              </w:rPr>
              <w:t>8</w:t>
            </w:r>
          </w:p>
        </w:tc>
        <w:tc>
          <w:tcPr>
            <w:tcW w:w="4886" w:type="dxa"/>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黑体" w:hAnsi="黑体"/>
                <w:color w:val="auto"/>
                <w:sz w:val="21"/>
                <w:szCs w:val="21"/>
              </w:rPr>
            </w:pPr>
            <w:r>
              <w:rPr>
                <w:rFonts w:hint="eastAsia" w:ascii="黑体" w:hAnsi="黑体"/>
                <w:color w:val="auto"/>
                <w:sz w:val="21"/>
                <w:szCs w:val="21"/>
              </w:rPr>
              <w:t>万名老年人拥有护理员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黑体" w:hAnsi="黑体"/>
                <w:color w:val="auto"/>
                <w:sz w:val="21"/>
                <w:szCs w:val="21"/>
              </w:rPr>
            </w:pPr>
            <w:r>
              <w:rPr>
                <w:rFonts w:hint="eastAsia" w:ascii="黑体" w:hAnsi="黑体"/>
                <w:color w:val="auto"/>
                <w:sz w:val="21"/>
                <w:szCs w:val="21"/>
              </w:rPr>
              <w:t>≥</w:t>
            </w:r>
            <w:r>
              <w:rPr>
                <w:rFonts w:ascii="黑体" w:hAnsi="黑体"/>
                <w:color w:val="auto"/>
                <w:sz w:val="21"/>
                <w:szCs w:val="21"/>
              </w:rPr>
              <w:t>5</w:t>
            </w:r>
            <w:r>
              <w:rPr>
                <w:rFonts w:hint="eastAsia" w:ascii="黑体" w:hAnsi="黑体"/>
                <w:color w:val="auto"/>
                <w:sz w:val="21"/>
                <w:szCs w:val="21"/>
              </w:rPr>
              <w:t>0</w:t>
            </w:r>
          </w:p>
        </w:tc>
        <w:tc>
          <w:tcPr>
            <w:tcW w:w="1267" w:type="dxa"/>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黑体" w:hAnsi="黑体"/>
                <w:color w:val="auto"/>
                <w:sz w:val="21"/>
                <w:szCs w:val="21"/>
              </w:rPr>
            </w:pPr>
            <w:r>
              <w:rPr>
                <w:rFonts w:hint="eastAsia" w:ascii="黑体" w:hAnsi="黑体"/>
                <w:color w:val="auto"/>
                <w:sz w:val="21"/>
                <w:szCs w:val="21"/>
              </w:rPr>
              <w:t>≥</w:t>
            </w:r>
            <w:r>
              <w:rPr>
                <w:rFonts w:ascii="黑体" w:hAnsi="黑体"/>
                <w:color w:val="auto"/>
                <w:sz w:val="21"/>
                <w:szCs w:val="21"/>
              </w:rPr>
              <w:t>15</w:t>
            </w:r>
            <w:r>
              <w:rPr>
                <w:rFonts w:hint="eastAsia" w:ascii="黑体" w:hAnsi="黑体"/>
                <w:color w:val="auto"/>
                <w:sz w:val="21"/>
                <w:szCs w:val="21"/>
              </w:rPr>
              <w:t>0</w:t>
            </w:r>
          </w:p>
        </w:tc>
      </w:tr>
      <w:bookmarkEnd w:id="131"/>
    </w:tbl>
    <w:p>
      <w:pPr>
        <w:spacing w:line="560" w:lineRule="exact"/>
        <w:ind w:left="600" w:firstLine="0" w:firstLineChars="0"/>
        <w:rPr>
          <w:color w:val="auto"/>
        </w:rPr>
      </w:pPr>
    </w:p>
    <w:p>
      <w:pPr>
        <w:spacing w:line="560" w:lineRule="exact"/>
        <w:ind w:left="600" w:firstLine="0" w:firstLineChars="0"/>
        <w:rPr>
          <w:color w:val="auto"/>
        </w:rPr>
      </w:pPr>
    </w:p>
    <w:p>
      <w:pPr>
        <w:spacing w:line="560" w:lineRule="exact"/>
        <w:ind w:left="600" w:firstLine="0" w:firstLineChars="0"/>
        <w:rPr>
          <w:color w:val="auto"/>
        </w:rPr>
      </w:pPr>
    </w:p>
    <w:p>
      <w:pPr>
        <w:spacing w:line="560" w:lineRule="exact"/>
        <w:ind w:left="600" w:firstLine="0" w:firstLineChars="0"/>
        <w:rPr>
          <w:color w:val="auto"/>
        </w:rPr>
      </w:pPr>
    </w:p>
    <w:p>
      <w:pPr>
        <w:spacing w:line="560" w:lineRule="exact"/>
        <w:ind w:left="600" w:firstLine="0" w:firstLineChars="0"/>
        <w:rPr>
          <w:color w:val="auto"/>
        </w:rPr>
      </w:pPr>
    </w:p>
    <w:p>
      <w:pPr>
        <w:spacing w:line="560" w:lineRule="exact"/>
        <w:ind w:left="600" w:firstLine="0" w:firstLineChars="0"/>
        <w:rPr>
          <w:color w:val="auto"/>
        </w:rPr>
      </w:pPr>
    </w:p>
    <w:p>
      <w:pPr>
        <w:spacing w:line="560" w:lineRule="exact"/>
        <w:ind w:left="600" w:firstLine="0" w:firstLineChars="0"/>
        <w:rPr>
          <w:color w:val="auto"/>
        </w:rPr>
      </w:pPr>
    </w:p>
    <w:p>
      <w:pPr>
        <w:spacing w:line="560" w:lineRule="exact"/>
        <w:ind w:left="600" w:firstLine="0" w:firstLineChars="0"/>
        <w:rPr>
          <w:color w:val="auto"/>
        </w:rPr>
      </w:pPr>
    </w:p>
    <w:p>
      <w:pPr>
        <w:spacing w:line="560" w:lineRule="exact"/>
        <w:ind w:firstLine="0" w:firstLineChars="0"/>
        <w:rPr>
          <w:color w:val="auto"/>
        </w:rPr>
      </w:pPr>
    </w:p>
    <w:p>
      <w:pPr>
        <w:pStyle w:val="2"/>
        <w:spacing w:after="411" w:line="560" w:lineRule="exact"/>
        <w:rPr>
          <w:color w:val="auto"/>
        </w:rPr>
      </w:pPr>
      <w:bookmarkStart w:id="132" w:name="_Toc10202"/>
      <w:bookmarkStart w:id="133" w:name="_Toc12433"/>
      <w:bookmarkStart w:id="134" w:name="_Toc12973"/>
      <w:bookmarkStart w:id="135" w:name="_Toc1510"/>
      <w:bookmarkStart w:id="136" w:name="_Toc1842066909"/>
      <w:bookmarkStart w:id="137" w:name="_Toc20903"/>
      <w:r>
        <w:rPr>
          <w:rFonts w:hint="eastAsia"/>
          <w:color w:val="auto"/>
        </w:rPr>
        <w:t>第</w:t>
      </w:r>
      <w:r>
        <w:rPr>
          <w:color w:val="auto"/>
        </w:rPr>
        <w:t>一章</w:t>
      </w:r>
      <w:r>
        <w:rPr>
          <w:rFonts w:hint="eastAsia"/>
          <w:color w:val="auto"/>
        </w:rPr>
        <w:t xml:space="preserve"> </w:t>
      </w:r>
      <w:r>
        <w:rPr>
          <w:color w:val="auto"/>
        </w:rPr>
        <w:t>规划背景</w:t>
      </w:r>
      <w:bookmarkEnd w:id="30"/>
      <w:bookmarkEnd w:id="132"/>
      <w:bookmarkEnd w:id="133"/>
      <w:bookmarkEnd w:id="134"/>
      <w:bookmarkEnd w:id="135"/>
      <w:bookmarkEnd w:id="136"/>
      <w:bookmarkEnd w:id="137"/>
    </w:p>
    <w:p>
      <w:pPr>
        <w:spacing w:line="560" w:lineRule="exact"/>
        <w:ind w:firstLine="600"/>
        <w:rPr>
          <w:color w:val="auto"/>
        </w:rPr>
      </w:pPr>
      <w:r>
        <w:rPr>
          <w:rFonts w:hint="eastAsia"/>
          <w:color w:val="auto"/>
        </w:rPr>
        <w:t>以习近平新时代中国特色社会主义思想为指导，应对北京人口老龄化对首都</w:t>
      </w:r>
      <w:r>
        <w:rPr>
          <w:color w:val="auto"/>
        </w:rPr>
        <w:t>社会经济协调发展提出</w:t>
      </w:r>
      <w:r>
        <w:rPr>
          <w:rFonts w:hint="eastAsia"/>
          <w:color w:val="auto"/>
        </w:rPr>
        <w:t>的</w:t>
      </w:r>
      <w:r>
        <w:rPr>
          <w:color w:val="auto"/>
        </w:rPr>
        <w:t>新要求，</w:t>
      </w:r>
      <w:r>
        <w:rPr>
          <w:rFonts w:hint="eastAsia"/>
          <w:color w:val="auto"/>
        </w:rPr>
        <w:t>以</w:t>
      </w:r>
      <w:r>
        <w:rPr>
          <w:color w:val="auto"/>
        </w:rPr>
        <w:t>建设北京特色的养老服务体系，</w:t>
      </w:r>
      <w:r>
        <w:rPr>
          <w:rFonts w:hint="eastAsia"/>
          <w:color w:val="auto"/>
        </w:rPr>
        <w:t>作为</w:t>
      </w:r>
      <w:r>
        <w:rPr>
          <w:color w:val="auto"/>
        </w:rPr>
        <w:t>全面建成小康社会和大国首都建设的</w:t>
      </w:r>
      <w:r>
        <w:rPr>
          <w:rFonts w:hint="eastAsia"/>
          <w:color w:val="auto"/>
        </w:rPr>
        <w:t>重要举措。</w:t>
      </w:r>
    </w:p>
    <w:p>
      <w:pPr>
        <w:pStyle w:val="3"/>
        <w:spacing w:before="205" w:after="205" w:line="560" w:lineRule="exact"/>
        <w:rPr>
          <w:color w:val="auto"/>
        </w:rPr>
      </w:pPr>
      <w:bookmarkStart w:id="138" w:name="_Toc19445"/>
      <w:bookmarkStart w:id="139" w:name="_Toc32085"/>
      <w:bookmarkStart w:id="140" w:name="_Toc28068"/>
      <w:bookmarkStart w:id="141" w:name="_Toc26704"/>
      <w:bookmarkStart w:id="142" w:name="_Toc2086284861"/>
      <w:bookmarkStart w:id="143" w:name="_Toc12553"/>
      <w:r>
        <w:rPr>
          <w:rFonts w:hint="eastAsia"/>
          <w:color w:val="auto"/>
        </w:rPr>
        <w:t>第</w:t>
      </w:r>
      <w:r>
        <w:rPr>
          <w:rFonts w:hint="eastAsia"/>
          <w:color w:val="auto"/>
          <w:lang w:eastAsia="zh-CN"/>
        </w:rPr>
        <w:t>一</w:t>
      </w:r>
      <w:r>
        <w:rPr>
          <w:rFonts w:hint="eastAsia"/>
          <w:color w:val="auto"/>
        </w:rPr>
        <w:t>节 发展趋势</w:t>
      </w:r>
      <w:bookmarkEnd w:id="138"/>
      <w:bookmarkEnd w:id="139"/>
      <w:bookmarkEnd w:id="140"/>
      <w:bookmarkEnd w:id="141"/>
      <w:bookmarkEnd w:id="142"/>
      <w:bookmarkEnd w:id="143"/>
    </w:p>
    <w:p>
      <w:pPr>
        <w:pStyle w:val="4"/>
        <w:spacing w:before="205" w:after="205" w:line="560" w:lineRule="exact"/>
        <w:rPr>
          <w:color w:val="auto"/>
        </w:rPr>
      </w:pPr>
      <w:r>
        <w:rPr>
          <w:rFonts w:hint="eastAsia"/>
          <w:color w:val="auto"/>
        </w:rPr>
        <w:t>第</w:t>
      </w:r>
      <w:r>
        <w:rPr>
          <w:color w:val="auto"/>
        </w:rPr>
        <w:t>8条</w:t>
      </w:r>
      <w:r>
        <w:rPr>
          <w:rFonts w:hint="eastAsia"/>
          <w:color w:val="auto"/>
        </w:rPr>
        <w:t xml:space="preserve"> </w:t>
      </w:r>
      <w:r>
        <w:rPr>
          <w:color w:val="auto"/>
        </w:rPr>
        <w:t>挑战与机遇并存</w:t>
      </w:r>
    </w:p>
    <w:p>
      <w:pPr>
        <w:spacing w:line="560" w:lineRule="exact"/>
        <w:ind w:firstLine="600"/>
        <w:rPr>
          <w:color w:val="auto"/>
        </w:rPr>
      </w:pPr>
      <w:r>
        <w:rPr>
          <w:rFonts w:hint="eastAsia"/>
          <w:color w:val="auto"/>
        </w:rPr>
        <w:t>未来老年人口不断增加，老龄化水平逐年升高，将给经济运行、社会保障、社会建设等多方面带来巨大压力。抚养比增长将影响居民财富的积累，使政府用于社会保障和公共服务的投入大幅增加。北京市社会经济高质量发展中的老龄化不乏带来挑战，但也</w:t>
      </w:r>
      <w:r>
        <w:rPr>
          <w:rFonts w:hint="eastAsia"/>
          <w:color w:val="auto"/>
          <w:lang w:eastAsia="zh-CN"/>
        </w:rPr>
        <w:t>因此</w:t>
      </w:r>
      <w:r>
        <w:rPr>
          <w:rFonts w:hint="eastAsia"/>
          <w:color w:val="auto"/>
        </w:rPr>
        <w:t>迎来了巨大</w:t>
      </w:r>
      <w:r>
        <w:rPr>
          <w:rFonts w:hint="eastAsia"/>
          <w:color w:val="auto"/>
          <w:lang w:eastAsia="zh-CN"/>
        </w:rPr>
        <w:t>的</w:t>
      </w:r>
      <w:r>
        <w:rPr>
          <w:rFonts w:hint="eastAsia"/>
          <w:color w:val="auto"/>
        </w:rPr>
        <w:t>发展机遇。</w:t>
      </w:r>
    </w:p>
    <w:p>
      <w:pPr>
        <w:pStyle w:val="4"/>
        <w:spacing w:before="205" w:after="205" w:line="560" w:lineRule="exact"/>
        <w:rPr>
          <w:color w:val="auto"/>
        </w:rPr>
      </w:pPr>
      <w:r>
        <w:rPr>
          <w:rFonts w:hint="eastAsia"/>
          <w:color w:val="auto"/>
        </w:rPr>
        <w:t>第</w:t>
      </w:r>
      <w:r>
        <w:rPr>
          <w:color w:val="auto"/>
        </w:rPr>
        <w:t>9条</w:t>
      </w:r>
      <w:r>
        <w:rPr>
          <w:rFonts w:hint="eastAsia"/>
          <w:color w:val="auto"/>
        </w:rPr>
        <w:t xml:space="preserve"> </w:t>
      </w:r>
      <w:r>
        <w:rPr>
          <w:color w:val="auto"/>
        </w:rPr>
        <w:t>促进经济新增长点</w:t>
      </w:r>
    </w:p>
    <w:p>
      <w:pPr>
        <w:spacing w:line="560" w:lineRule="exact"/>
        <w:ind w:firstLine="600"/>
        <w:rPr>
          <w:color w:val="auto"/>
        </w:rPr>
      </w:pPr>
      <w:r>
        <w:rPr>
          <w:rFonts w:hint="eastAsia"/>
          <w:color w:val="auto"/>
        </w:rPr>
        <w:t>养老产品和消费需求的快速增加，将成为北京市经济发展的新动能，也为养老服务产业的蓬勃发展提供了新的机遇。养老保险基金以及丰富多样的金融产品和工具的使用，不断发展壮大了资本市场，给其带来长期稳定的资金来源，促进资本市场健康发展养老产业。</w:t>
      </w:r>
    </w:p>
    <w:p>
      <w:pPr>
        <w:pStyle w:val="4"/>
        <w:spacing w:before="205" w:after="205" w:line="560" w:lineRule="exact"/>
        <w:rPr>
          <w:color w:val="auto"/>
        </w:rPr>
      </w:pPr>
      <w:r>
        <w:rPr>
          <w:rFonts w:hint="eastAsia"/>
          <w:color w:val="auto"/>
        </w:rPr>
        <w:t>第</w:t>
      </w:r>
      <w:r>
        <w:rPr>
          <w:rFonts w:hint="eastAsia"/>
          <w:color w:val="auto"/>
          <w:lang w:val="en-US" w:eastAsia="zh-CN"/>
        </w:rPr>
        <w:t>1</w:t>
      </w:r>
      <w:r>
        <w:rPr>
          <w:color w:val="auto"/>
        </w:rPr>
        <w:t>0条</w:t>
      </w:r>
      <w:r>
        <w:rPr>
          <w:rFonts w:hint="eastAsia"/>
          <w:color w:val="auto"/>
        </w:rPr>
        <w:t xml:space="preserve"> </w:t>
      </w:r>
      <w:r>
        <w:rPr>
          <w:color w:val="auto"/>
        </w:rPr>
        <w:t>促进就业规模扩大</w:t>
      </w:r>
    </w:p>
    <w:p>
      <w:pPr>
        <w:spacing w:line="560" w:lineRule="exact"/>
        <w:ind w:firstLine="600"/>
        <w:rPr>
          <w:color w:val="auto"/>
        </w:rPr>
      </w:pPr>
      <w:r>
        <w:rPr>
          <w:rFonts w:hint="eastAsia"/>
          <w:color w:val="auto"/>
        </w:rPr>
        <w:t>老年人口结构决定养老人才需求，从</w:t>
      </w:r>
      <w:r>
        <w:rPr>
          <w:color w:val="auto"/>
        </w:rPr>
        <w:t>2022年我国将进入</w:t>
      </w:r>
      <w:r>
        <w:rPr>
          <w:rFonts w:hint="eastAsia"/>
          <w:color w:val="auto"/>
        </w:rPr>
        <w:t>养老人才需求</w:t>
      </w:r>
      <w:r>
        <w:rPr>
          <w:color w:val="auto"/>
        </w:rPr>
        <w:t>急速增长期，需要养老服务的老年人也将快速增</w:t>
      </w:r>
      <w:r>
        <w:rPr>
          <w:rFonts w:hint="eastAsia"/>
          <w:color w:val="auto"/>
        </w:rPr>
        <w:t>加</w:t>
      </w:r>
      <w:r>
        <w:rPr>
          <w:color w:val="auto"/>
        </w:rPr>
        <w:t>，对高素质、高技能养老人员的需求日益增加，</w:t>
      </w:r>
      <w:r>
        <w:rPr>
          <w:rFonts w:hint="eastAsia"/>
          <w:color w:val="auto"/>
        </w:rPr>
        <w:t>将</w:t>
      </w:r>
      <w:r>
        <w:rPr>
          <w:color w:val="auto"/>
        </w:rPr>
        <w:t>为社会提供大量的就业机会，</w:t>
      </w:r>
      <w:r>
        <w:rPr>
          <w:rFonts w:hint="eastAsia"/>
          <w:color w:val="auto"/>
        </w:rPr>
        <w:t>从而</w:t>
      </w:r>
      <w:r>
        <w:rPr>
          <w:color w:val="auto"/>
        </w:rPr>
        <w:t>优化劳动力结构，持续扩大就业规模，就业质量达到较高水平。</w:t>
      </w:r>
    </w:p>
    <w:p>
      <w:pPr>
        <w:pStyle w:val="3"/>
        <w:spacing w:before="205" w:after="205" w:line="560" w:lineRule="exact"/>
        <w:rPr>
          <w:color w:val="auto"/>
        </w:rPr>
      </w:pPr>
      <w:bookmarkStart w:id="144" w:name="_Toc31349"/>
      <w:bookmarkStart w:id="145" w:name="_Toc1993407242"/>
      <w:bookmarkStart w:id="146" w:name="_Toc3932"/>
      <w:r>
        <w:rPr>
          <w:rFonts w:hint="eastAsia"/>
          <w:color w:val="auto"/>
        </w:rPr>
        <w:t>第</w:t>
      </w:r>
      <w:r>
        <w:rPr>
          <w:rFonts w:hint="eastAsia"/>
          <w:color w:val="auto"/>
          <w:lang w:eastAsia="zh-CN"/>
        </w:rPr>
        <w:t>二</w:t>
      </w:r>
      <w:r>
        <w:rPr>
          <w:rFonts w:hint="eastAsia"/>
          <w:color w:val="auto"/>
        </w:rPr>
        <w:t>节 发展思路</w:t>
      </w:r>
      <w:bookmarkEnd w:id="144"/>
      <w:bookmarkEnd w:id="145"/>
      <w:bookmarkEnd w:id="146"/>
    </w:p>
    <w:p>
      <w:pPr>
        <w:spacing w:line="560" w:lineRule="exact"/>
        <w:ind w:firstLine="600"/>
        <w:rPr>
          <w:rFonts w:cs="仿宋"/>
          <w:color w:val="auto"/>
          <w:szCs w:val="30"/>
        </w:rPr>
      </w:pPr>
      <w:r>
        <w:rPr>
          <w:rFonts w:hint="eastAsia" w:cs="仿宋"/>
          <w:color w:val="auto"/>
          <w:szCs w:val="30"/>
        </w:rPr>
        <w:t>紧紧抓住首都城市功能和空间布局重组的契机，从老龄人口比重、代际消费能力和养老观念变化出发，兼顾近</w:t>
      </w:r>
      <w:r>
        <w:rPr>
          <w:rFonts w:hint="eastAsia" w:cs="仿宋"/>
          <w:color w:val="auto"/>
          <w:szCs w:val="30"/>
          <w:lang w:eastAsia="zh-CN"/>
        </w:rPr>
        <w:t>、</w:t>
      </w:r>
      <w:r>
        <w:rPr>
          <w:rFonts w:hint="eastAsia" w:cs="仿宋"/>
          <w:color w:val="auto"/>
          <w:szCs w:val="30"/>
        </w:rPr>
        <w:t>远期需求，建设老年友好型社会。</w:t>
      </w:r>
    </w:p>
    <w:p>
      <w:pPr>
        <w:pStyle w:val="4"/>
        <w:spacing w:before="205" w:after="205" w:line="560" w:lineRule="exact"/>
        <w:rPr>
          <w:color w:val="auto"/>
        </w:rPr>
      </w:pPr>
      <w:r>
        <w:rPr>
          <w:rFonts w:hint="eastAsia"/>
          <w:color w:val="auto"/>
        </w:rPr>
        <w:t>第</w:t>
      </w:r>
      <w:r>
        <w:rPr>
          <w:rFonts w:hint="eastAsia"/>
          <w:color w:val="auto"/>
          <w:lang w:val="en-US" w:eastAsia="zh-CN"/>
        </w:rPr>
        <w:t>1</w:t>
      </w:r>
      <w:r>
        <w:rPr>
          <w:rFonts w:hint="eastAsia"/>
          <w:color w:val="auto"/>
        </w:rPr>
        <w:t>1条  实施积极应对人口老龄化国家战略</w:t>
      </w:r>
    </w:p>
    <w:p>
      <w:pPr>
        <w:spacing w:line="560" w:lineRule="exact"/>
        <w:ind w:firstLine="602"/>
        <w:rPr>
          <w:rFonts w:cs="仿宋"/>
          <w:color w:val="auto"/>
          <w:szCs w:val="30"/>
        </w:rPr>
      </w:pPr>
      <w:r>
        <w:rPr>
          <w:rFonts w:hint="eastAsia" w:cs="仿宋"/>
          <w:b/>
          <w:bCs/>
          <w:color w:val="auto"/>
          <w:szCs w:val="30"/>
        </w:rPr>
        <w:t>进一步完善“9064”养老服务体系。</w:t>
      </w:r>
      <w:r>
        <w:rPr>
          <w:rFonts w:hint="eastAsia" w:cs="仿宋"/>
          <w:color w:val="auto"/>
          <w:szCs w:val="30"/>
        </w:rPr>
        <w:t>支持家庭承担养老功能，培育养老新业态，构建居家社区机构相协调、医养康养相结合的养老服务体系。落实《总体规划》中减量发展的要求，以“一核一主一副、两轴多点一区”的城市空间结构为基础和依据，分区域统筹服务资源，优化养老服务设施空间布局，做实社区养老和机构养老，同时发挥市场作用，鼓励养老产业向外布局。</w:t>
      </w:r>
    </w:p>
    <w:p>
      <w:pPr>
        <w:spacing w:line="560" w:lineRule="exact"/>
        <w:ind w:firstLine="602"/>
        <w:rPr>
          <w:rFonts w:hint="eastAsia" w:cs="仿宋"/>
          <w:color w:val="auto"/>
          <w:szCs w:val="30"/>
        </w:rPr>
      </w:pPr>
      <w:r>
        <w:rPr>
          <w:rFonts w:hint="eastAsia" w:cs="仿宋"/>
          <w:b/>
          <w:bCs/>
          <w:color w:val="auto"/>
          <w:szCs w:val="30"/>
        </w:rPr>
        <w:t>进一步做好基本养老服务。</w:t>
      </w:r>
      <w:r>
        <w:rPr>
          <w:rFonts w:hint="eastAsia" w:cs="仿宋"/>
          <w:color w:val="auto"/>
          <w:szCs w:val="30"/>
        </w:rPr>
        <w:t>健全基本养老服务体系，发展普惠型养老服务和互助性养老，统筹解决床位不足与闲置并存的结构性问题，发展多层次、个性化、品质化、精准化的养老保障体系和服务供给模式。中心城区以“保基本”为主，指标不做硬性考核，特别是核心区要内外联动，规模以上机构养老设施要向外疏解。</w:t>
      </w:r>
    </w:p>
    <w:p>
      <w:pPr>
        <w:spacing w:line="560" w:lineRule="exact"/>
        <w:ind w:firstLine="602"/>
        <w:rPr>
          <w:rFonts w:cs="仿宋"/>
          <w:color w:val="auto"/>
          <w:szCs w:val="30"/>
        </w:rPr>
      </w:pPr>
      <w:r>
        <w:rPr>
          <w:rFonts w:hint="eastAsia" w:cs="仿宋"/>
          <w:b/>
          <w:bCs/>
          <w:color w:val="auto"/>
          <w:szCs w:val="30"/>
        </w:rPr>
        <w:t>进一步加强政策引导。</w:t>
      </w:r>
      <w:r>
        <w:rPr>
          <w:rFonts w:hint="eastAsia" w:cs="仿宋"/>
          <w:color w:val="auto"/>
          <w:szCs w:val="30"/>
        </w:rPr>
        <w:t>研究制定有利于居家养老、引导养老产业培育和向外布局的相关政策，研究完善异地养老、养老产业用地等政策，形成更加健全和完善的养老服务制度体系，健全养老服务综合监管制度。积极开发老龄人力资源，发展银发经济。鼓励社会资本积极参与养老事业，大力发展养老产业，推动养老事业和养老产业协同发展。</w:t>
      </w:r>
    </w:p>
    <w:p>
      <w:pPr>
        <w:spacing w:line="560" w:lineRule="exact"/>
        <w:ind w:firstLine="602"/>
        <w:rPr>
          <w:rFonts w:cs="仿宋"/>
          <w:color w:val="auto"/>
          <w:szCs w:val="30"/>
        </w:rPr>
      </w:pPr>
      <w:r>
        <w:rPr>
          <w:rFonts w:hint="eastAsia" w:cs="仿宋"/>
          <w:b/>
          <w:bCs/>
          <w:color w:val="auto"/>
          <w:szCs w:val="30"/>
        </w:rPr>
        <w:t>进一步保障老年人权益。</w:t>
      </w:r>
      <w:r>
        <w:rPr>
          <w:rFonts w:hint="eastAsia" w:cs="仿宋"/>
          <w:color w:val="auto"/>
          <w:szCs w:val="30"/>
        </w:rPr>
        <w:t>强化应对人口老龄化的法治环境，保障老年人合法权益。做好失能、失智等特殊老年群体的托养服务工作。完善养老机构建筑设计规范，养老设施建设要符合传染病防控要求，加强无障碍设计与改造。</w:t>
      </w:r>
    </w:p>
    <w:p>
      <w:pPr>
        <w:spacing w:line="560" w:lineRule="exact"/>
        <w:ind w:firstLine="602"/>
        <w:rPr>
          <w:rFonts w:cs="仿宋"/>
          <w:color w:val="auto"/>
          <w:szCs w:val="30"/>
        </w:rPr>
      </w:pPr>
      <w:r>
        <w:rPr>
          <w:rFonts w:hint="eastAsia" w:cs="仿宋"/>
          <w:b/>
          <w:bCs/>
          <w:color w:val="auto"/>
          <w:szCs w:val="30"/>
        </w:rPr>
        <w:t>进一步推进老年宜居环境建设。</w:t>
      </w:r>
      <w:r>
        <w:rPr>
          <w:rFonts w:hint="eastAsia" w:cs="仿宋"/>
          <w:color w:val="auto"/>
          <w:szCs w:val="30"/>
        </w:rPr>
        <w:t>充分考虑老年群体的特性和需求，建设安全、便利、舒适的适老居住、出行、就医、养老等物质环境。不断消除老年人融入社会、参与社会的障碍，逐渐形成老年人信息交流、尊重包容、自我价值实现的有利环境。</w:t>
      </w:r>
    </w:p>
    <w:bookmarkEnd w:id="19"/>
    <w:bookmarkEnd w:id="20"/>
    <w:bookmarkEnd w:id="31"/>
    <w:p>
      <w:pPr>
        <w:spacing w:line="560" w:lineRule="exact"/>
        <w:ind w:firstLine="0" w:firstLineChars="0"/>
        <w:rPr>
          <w:color w:val="auto"/>
        </w:rPr>
      </w:pPr>
      <w:bookmarkStart w:id="147" w:name="_Toc17265"/>
      <w:bookmarkStart w:id="148" w:name="_Toc31226"/>
      <w:bookmarkStart w:id="149" w:name="_Toc17886"/>
      <w:bookmarkStart w:id="150" w:name="_Toc40085556"/>
      <w:bookmarkStart w:id="151" w:name="_Toc1951"/>
      <w:bookmarkStart w:id="152" w:name="_Toc23823"/>
      <w:bookmarkStart w:id="153" w:name="_Toc26696"/>
      <w:bookmarkStart w:id="154" w:name="_Toc3009_WPSOffice_Level1"/>
      <w:bookmarkStart w:id="155" w:name="_Toc27966_WPSOffice_Level1"/>
    </w:p>
    <w:p>
      <w:pPr>
        <w:spacing w:line="560" w:lineRule="exact"/>
        <w:ind w:firstLine="0" w:firstLineChars="0"/>
        <w:rPr>
          <w:color w:val="auto"/>
        </w:rPr>
      </w:pPr>
    </w:p>
    <w:p>
      <w:pPr>
        <w:spacing w:line="560" w:lineRule="exact"/>
        <w:ind w:firstLine="0" w:firstLineChars="0"/>
        <w:rPr>
          <w:color w:val="auto"/>
        </w:rPr>
      </w:pPr>
    </w:p>
    <w:p>
      <w:pPr>
        <w:spacing w:line="560" w:lineRule="exact"/>
        <w:ind w:firstLine="0" w:firstLineChars="0"/>
        <w:rPr>
          <w:color w:val="auto"/>
        </w:rPr>
      </w:pPr>
    </w:p>
    <w:p>
      <w:pPr>
        <w:spacing w:line="560" w:lineRule="exact"/>
        <w:ind w:firstLine="0" w:firstLineChars="0"/>
        <w:rPr>
          <w:color w:val="auto"/>
        </w:rPr>
      </w:pPr>
    </w:p>
    <w:p>
      <w:pPr>
        <w:spacing w:line="560" w:lineRule="exact"/>
        <w:ind w:firstLine="0" w:firstLineChars="0"/>
        <w:rPr>
          <w:color w:val="auto"/>
        </w:rPr>
      </w:pPr>
    </w:p>
    <w:p>
      <w:pPr>
        <w:spacing w:line="560" w:lineRule="exact"/>
        <w:ind w:firstLine="0" w:firstLineChars="0"/>
        <w:rPr>
          <w:color w:val="auto"/>
        </w:rPr>
      </w:pPr>
    </w:p>
    <w:p>
      <w:pPr>
        <w:spacing w:line="560" w:lineRule="exact"/>
        <w:ind w:firstLine="0" w:firstLineChars="0"/>
        <w:rPr>
          <w:color w:val="auto"/>
        </w:rPr>
      </w:pPr>
    </w:p>
    <w:p>
      <w:pPr>
        <w:spacing w:line="560" w:lineRule="exact"/>
        <w:ind w:firstLine="0" w:firstLineChars="0"/>
        <w:rPr>
          <w:color w:val="auto"/>
        </w:rPr>
      </w:pPr>
    </w:p>
    <w:p>
      <w:pPr>
        <w:pStyle w:val="2"/>
        <w:spacing w:after="411" w:line="560" w:lineRule="exact"/>
        <w:rPr>
          <w:color w:val="auto"/>
        </w:rPr>
      </w:pPr>
      <w:bookmarkStart w:id="156" w:name="_Toc1258891018"/>
      <w:bookmarkStart w:id="157" w:name="_Toc22592"/>
      <w:bookmarkStart w:id="158" w:name="_Toc17563"/>
      <w:r>
        <w:rPr>
          <w:color w:val="auto"/>
        </w:rPr>
        <w:t>第</w:t>
      </w:r>
      <w:r>
        <w:rPr>
          <w:rFonts w:hint="eastAsia"/>
          <w:color w:val="auto"/>
        </w:rPr>
        <w:t>二</w:t>
      </w:r>
      <w:r>
        <w:rPr>
          <w:color w:val="auto"/>
        </w:rPr>
        <w:t>章</w:t>
      </w:r>
      <w:r>
        <w:rPr>
          <w:rFonts w:hint="eastAsia"/>
          <w:color w:val="auto"/>
        </w:rPr>
        <w:t xml:space="preserve"> 建设老年友好型社会</w:t>
      </w:r>
      <w:bookmarkEnd w:id="147"/>
      <w:bookmarkEnd w:id="148"/>
      <w:bookmarkEnd w:id="149"/>
      <w:bookmarkEnd w:id="156"/>
      <w:bookmarkEnd w:id="157"/>
      <w:bookmarkEnd w:id="158"/>
    </w:p>
    <w:p>
      <w:pPr>
        <w:spacing w:line="560" w:lineRule="exact"/>
        <w:ind w:firstLine="600"/>
        <w:rPr>
          <w:color w:val="auto"/>
        </w:rPr>
      </w:pPr>
      <w:r>
        <w:rPr>
          <w:rFonts w:hint="eastAsia"/>
          <w:color w:val="auto"/>
        </w:rPr>
        <w:t>创建国际一流老年宜居环境，践行尊严养老、品质养老，全面提升城市适老化水平，建设适合全生命周期的老年宜居城市。倡导积极的养老理念和养老方式，充分发挥老年人的积极作用，提高老年人社会参与度，引导老年人树立社会化养老服务的消费观念，深度开发活力老年人人力资源，尤其是管理型、科技型、医护型、教育型、文化型老年人力资源的开发和利用，支持活力老年人创业，开展老年管理志愿者和科技志愿者等公益活动，不断提升老年人获得感、认同感和幸福感。</w:t>
      </w:r>
    </w:p>
    <w:p>
      <w:pPr>
        <w:pStyle w:val="3"/>
        <w:spacing w:before="205" w:after="205" w:line="560" w:lineRule="exact"/>
        <w:rPr>
          <w:color w:val="auto"/>
        </w:rPr>
      </w:pPr>
      <w:bookmarkStart w:id="159" w:name="_Toc27802"/>
      <w:bookmarkStart w:id="160" w:name="_Toc25044"/>
      <w:bookmarkStart w:id="161" w:name="_Toc17043"/>
      <w:bookmarkStart w:id="162" w:name="_Toc20821"/>
      <w:bookmarkStart w:id="163" w:name="_Toc293647616"/>
      <w:bookmarkStart w:id="164" w:name="_Toc29227"/>
      <w:r>
        <w:rPr>
          <w:rFonts w:hint="eastAsia"/>
          <w:color w:val="auto"/>
        </w:rPr>
        <w:t>第一节 创建国际一流老年宜居环境</w:t>
      </w:r>
      <w:bookmarkEnd w:id="159"/>
      <w:bookmarkEnd w:id="160"/>
      <w:bookmarkEnd w:id="161"/>
      <w:bookmarkEnd w:id="162"/>
      <w:bookmarkEnd w:id="163"/>
      <w:bookmarkEnd w:id="164"/>
    </w:p>
    <w:p>
      <w:pPr>
        <w:pStyle w:val="4"/>
        <w:spacing w:before="205" w:after="205" w:line="560" w:lineRule="exact"/>
        <w:rPr>
          <w:color w:val="auto"/>
        </w:rPr>
      </w:pPr>
      <w:r>
        <w:rPr>
          <w:rFonts w:ascii="Times New Roman" w:hAnsi="Times New Roman"/>
          <w:color w:val="auto"/>
        </w:rPr>
        <w:t>第</w:t>
      </w:r>
      <w:r>
        <w:rPr>
          <w:rFonts w:hint="eastAsia"/>
          <w:color w:val="auto"/>
          <w:lang w:val="en-US" w:eastAsia="zh-CN"/>
        </w:rPr>
        <w:t>12</w:t>
      </w:r>
      <w:r>
        <w:rPr>
          <w:rFonts w:ascii="Times New Roman" w:hAnsi="Times New Roman"/>
          <w:color w:val="auto"/>
        </w:rPr>
        <w:t>条</w:t>
      </w:r>
      <w:r>
        <w:rPr>
          <w:rFonts w:hint="eastAsia" w:ascii="Times New Roman" w:hAnsi="Times New Roman"/>
          <w:color w:val="auto"/>
        </w:rPr>
        <w:t xml:space="preserve"> </w:t>
      </w:r>
      <w:r>
        <w:rPr>
          <w:rFonts w:hint="eastAsia"/>
          <w:color w:val="auto"/>
        </w:rPr>
        <w:t>保障老年居家安全</w:t>
      </w:r>
    </w:p>
    <w:p>
      <w:pPr>
        <w:adjustRightInd w:val="0"/>
        <w:snapToGrid w:val="0"/>
        <w:spacing w:line="560" w:lineRule="exact"/>
        <w:ind w:firstLine="602"/>
        <w:rPr>
          <w:color w:val="auto"/>
        </w:rPr>
      </w:pPr>
      <w:r>
        <w:rPr>
          <w:rFonts w:hint="eastAsia"/>
          <w:b/>
          <w:bCs/>
          <w:color w:val="auto"/>
        </w:rPr>
        <w:t>优化适老居住环境。</w:t>
      </w:r>
      <w:r>
        <w:rPr>
          <w:rFonts w:hint="eastAsia"/>
          <w:color w:val="auto"/>
        </w:rPr>
        <w:t>新建住宅应兼顾老年人的居住需求，遵循和参照相关标准建设和管理，满足老年人对居所的安全、卫生、便利和舒适等基本要求。鼓励开发建设适</w:t>
      </w:r>
      <w:r>
        <w:rPr>
          <w:rFonts w:hint="eastAsia"/>
          <w:color w:val="auto"/>
          <w:lang w:eastAsia="zh-CN"/>
        </w:rPr>
        <w:t>应</w:t>
      </w:r>
      <w:r>
        <w:rPr>
          <w:rFonts w:hint="eastAsia"/>
          <w:color w:val="auto"/>
        </w:rPr>
        <w:t>老年人生活特点、</w:t>
      </w:r>
      <w:r>
        <w:rPr>
          <w:rFonts w:hint="eastAsia"/>
          <w:color w:val="auto"/>
          <w:lang w:eastAsia="zh-CN"/>
        </w:rPr>
        <w:t>满足</w:t>
      </w:r>
      <w:r>
        <w:rPr>
          <w:rFonts w:hint="eastAsia"/>
          <w:color w:val="auto"/>
        </w:rPr>
        <w:t>老年人与各年龄人群共同居住需</w:t>
      </w:r>
      <w:r>
        <w:rPr>
          <w:rFonts w:hint="eastAsia"/>
          <w:color w:val="auto"/>
          <w:lang w:eastAsia="zh-CN"/>
        </w:rPr>
        <w:t>求</w:t>
      </w:r>
      <w:r>
        <w:rPr>
          <w:rFonts w:hint="eastAsia"/>
          <w:color w:val="auto"/>
        </w:rPr>
        <w:t>的老年人住宅和多代际住宅。推进老年人住宅适老化改造，完善老年人住宅防火和紧急救援救助功能，鼓励发展老年人紧急呼叫产品与服务，鼓励安装独立式感烟火灾探测报警器等设施设备。逐步实施针对特殊老年人的既有住房适老</w:t>
      </w:r>
      <w:r>
        <w:rPr>
          <w:rFonts w:hint="eastAsia"/>
          <w:color w:val="auto"/>
          <w:lang w:eastAsia="zh-CN"/>
        </w:rPr>
        <w:t>化</w:t>
      </w:r>
      <w:r>
        <w:rPr>
          <w:rFonts w:hint="eastAsia"/>
          <w:color w:val="auto"/>
        </w:rPr>
        <w:t>改造，以缓解老年人因生理机能变化导致的不适应，增强老年人居家生活的安全性、便利性和科学性。</w:t>
      </w:r>
    </w:p>
    <w:p>
      <w:pPr>
        <w:pStyle w:val="4"/>
        <w:spacing w:before="205" w:after="205" w:line="560" w:lineRule="exact"/>
        <w:rPr>
          <w:color w:val="auto"/>
        </w:rPr>
      </w:pPr>
      <w:r>
        <w:rPr>
          <w:color w:val="auto"/>
        </w:rPr>
        <w:t>第</w:t>
      </w:r>
      <w:r>
        <w:rPr>
          <w:rFonts w:hint="eastAsia"/>
          <w:color w:val="auto"/>
          <w:lang w:val="en-US" w:eastAsia="zh-CN"/>
        </w:rPr>
        <w:t>1</w:t>
      </w:r>
      <w:r>
        <w:rPr>
          <w:rFonts w:hint="eastAsia"/>
          <w:color w:val="auto"/>
        </w:rPr>
        <w:t>3</w:t>
      </w:r>
      <w:r>
        <w:rPr>
          <w:color w:val="auto"/>
        </w:rPr>
        <w:t>条</w:t>
      </w:r>
      <w:r>
        <w:rPr>
          <w:rFonts w:hint="eastAsia"/>
          <w:color w:val="auto"/>
        </w:rPr>
        <w:t xml:space="preserve"> 普及公共基础设施无障碍建设</w:t>
      </w:r>
    </w:p>
    <w:p>
      <w:pPr>
        <w:adjustRightInd w:val="0"/>
        <w:snapToGrid w:val="0"/>
        <w:spacing w:line="560" w:lineRule="exact"/>
        <w:ind w:firstLine="602"/>
        <w:rPr>
          <w:color w:val="auto"/>
        </w:rPr>
      </w:pPr>
      <w:r>
        <w:rPr>
          <w:rFonts w:hint="eastAsia"/>
          <w:b/>
          <w:bCs/>
          <w:color w:val="auto"/>
        </w:rPr>
        <w:t>优化户外环境设施。</w:t>
      </w:r>
      <w:r>
        <w:rPr>
          <w:rFonts w:hint="eastAsia"/>
          <w:color w:val="auto"/>
        </w:rPr>
        <w:t>加强对住宅公共设施、商场、公园、景区等与老年人日常生活密切相关的公共设施的无障碍设计与改造，重点对坡道、楼梯、电梯、扶手等进行改造，保障老年人出行安全。加强社区道路设施、休憩设施、信息化设施、服务设施等与老年人日常生活密切相关的设施和场所的无障碍建设。新建城乡社区提倡人车分流模式，加强步行系统安全设计和空间节点标志性设计。加强公共绿地建设和管理，增加老年人交流、锻炼和娱乐的户外活动场所，有条件的公共绿地应设置适宜的健身器材，方便老年人</w:t>
      </w:r>
      <w:r>
        <w:rPr>
          <w:rFonts w:hint="eastAsia"/>
          <w:color w:val="auto"/>
          <w:lang w:eastAsia="zh-CN"/>
        </w:rPr>
        <w:t>进行</w:t>
      </w:r>
      <w:r>
        <w:rPr>
          <w:rFonts w:hint="eastAsia"/>
          <w:color w:val="auto"/>
        </w:rPr>
        <w:t xml:space="preserve">身体锻炼。 </w:t>
      </w:r>
    </w:p>
    <w:p>
      <w:pPr>
        <w:pStyle w:val="4"/>
        <w:spacing w:before="205" w:after="205" w:line="560" w:lineRule="exact"/>
        <w:rPr>
          <w:color w:val="auto"/>
        </w:rPr>
      </w:pPr>
      <w:r>
        <w:rPr>
          <w:rFonts w:ascii="Times New Roman" w:hAnsi="Times New Roman"/>
          <w:color w:val="auto"/>
        </w:rPr>
        <w:t>第</w:t>
      </w:r>
      <w:r>
        <w:rPr>
          <w:rFonts w:hint="eastAsia"/>
          <w:color w:val="auto"/>
          <w:lang w:val="en-US" w:eastAsia="zh-CN"/>
        </w:rPr>
        <w:t>14</w:t>
      </w:r>
      <w:r>
        <w:rPr>
          <w:rFonts w:ascii="Times New Roman" w:hAnsi="Times New Roman"/>
          <w:color w:val="auto"/>
        </w:rPr>
        <w:t>条</w:t>
      </w:r>
      <w:r>
        <w:rPr>
          <w:rFonts w:hint="eastAsia" w:ascii="Times New Roman" w:hAnsi="Times New Roman"/>
          <w:color w:val="auto"/>
        </w:rPr>
        <w:t xml:space="preserve"> </w:t>
      </w:r>
      <w:r>
        <w:rPr>
          <w:color w:val="auto"/>
        </w:rPr>
        <w:t>提升</w:t>
      </w:r>
      <w:r>
        <w:rPr>
          <w:rFonts w:hint="eastAsia"/>
          <w:color w:val="auto"/>
        </w:rPr>
        <w:t>交通</w:t>
      </w:r>
      <w:r>
        <w:rPr>
          <w:color w:val="auto"/>
        </w:rPr>
        <w:t>适老化</w:t>
      </w:r>
      <w:r>
        <w:rPr>
          <w:rFonts w:hint="eastAsia"/>
          <w:color w:val="auto"/>
        </w:rPr>
        <w:t>功能</w:t>
      </w:r>
    </w:p>
    <w:p>
      <w:pPr>
        <w:adjustRightInd w:val="0"/>
        <w:snapToGrid w:val="0"/>
        <w:spacing w:line="560" w:lineRule="exact"/>
        <w:ind w:firstLine="602"/>
        <w:rPr>
          <w:color w:val="auto"/>
        </w:rPr>
      </w:pPr>
      <w:r>
        <w:rPr>
          <w:rFonts w:hint="eastAsia"/>
          <w:b/>
          <w:bCs/>
          <w:color w:val="auto"/>
        </w:rPr>
        <w:t>优化适老交通出行。</w:t>
      </w:r>
      <w:r>
        <w:rPr>
          <w:rFonts w:hint="eastAsia"/>
          <w:color w:val="auto"/>
        </w:rPr>
        <w:t>要为老年人提供运行安全、便利快捷、环境适宜、服务周到、信息详明的公共交通和出行服务。城市交通信息发布应方便老年人通过公共信息服务平台的热线电话、广播、互联网等多种手段，查询了解所要出行的信息。 对超市、公园、医院、活动中心等老年人常去地</w:t>
      </w:r>
      <w:r>
        <w:rPr>
          <w:rFonts w:hint="eastAsia"/>
          <w:color w:val="auto"/>
          <w:lang w:eastAsia="zh-CN"/>
        </w:rPr>
        <w:t>点</w:t>
      </w:r>
      <w:r>
        <w:rPr>
          <w:rFonts w:hint="eastAsia"/>
          <w:color w:val="auto"/>
        </w:rPr>
        <w:t>的交通线路设计要充分考虑老年人交通出行的方便。人行横道信号灯绿灯总时长应保证安全过街时间，方便老年人安全步行通过。人行道、过街天桥、地道和大型公共建筑的出入口均宜设置有供轮椅通行的平缓坡道。无法设置轮椅坡道处则应配有无障碍电梯或升降平台。</w:t>
      </w:r>
    </w:p>
    <w:p>
      <w:pPr>
        <w:pStyle w:val="4"/>
        <w:spacing w:before="205" w:after="205" w:line="560" w:lineRule="exact"/>
        <w:rPr>
          <w:rFonts w:ascii="Times New Roman" w:hAnsi="Times New Roman"/>
          <w:color w:val="auto"/>
        </w:rPr>
      </w:pPr>
      <w:r>
        <w:rPr>
          <w:rFonts w:hint="eastAsia" w:ascii="Times New Roman" w:hAnsi="Times New Roman"/>
          <w:color w:val="auto"/>
        </w:rPr>
        <w:t>第</w:t>
      </w:r>
      <w:r>
        <w:rPr>
          <w:rFonts w:hint="eastAsia"/>
          <w:color w:val="auto"/>
          <w:lang w:val="en-US" w:eastAsia="zh-CN"/>
        </w:rPr>
        <w:t>15</w:t>
      </w:r>
      <w:r>
        <w:rPr>
          <w:rFonts w:hint="eastAsia" w:ascii="Times New Roman" w:hAnsi="Times New Roman"/>
          <w:color w:val="auto"/>
        </w:rPr>
        <w:t>条 提高为老服务的科技化水平</w:t>
      </w:r>
    </w:p>
    <w:p>
      <w:pPr>
        <w:spacing w:line="560" w:lineRule="exact"/>
        <w:ind w:firstLine="602"/>
        <w:rPr>
          <w:color w:val="auto"/>
        </w:rPr>
      </w:pPr>
      <w:r>
        <w:rPr>
          <w:b/>
          <w:bCs/>
          <w:color w:val="auto"/>
        </w:rPr>
        <w:t>提高社区为老服务信息化水平</w:t>
      </w:r>
      <w:r>
        <w:rPr>
          <w:rFonts w:hint="eastAsia"/>
          <w:b/>
          <w:bCs/>
          <w:color w:val="auto"/>
        </w:rPr>
        <w:t>。</w:t>
      </w:r>
      <w:r>
        <w:rPr>
          <w:color w:val="auto"/>
        </w:rPr>
        <w:t>利用社区综合服务平台，有效对接服务供给与需求信息，加强健康养老终端设备的适老化设计与开发，为老年人提供方便的智慧健康养老服务。依托智慧网络平台和相关智能设备，为老年人居家照护、医疗诊断、健康管理等提供远程服务及辅助技术服务。开展“智慧助老”行动，依托社区加大对老年人智能技术使用的宣教和培训，并在老年人高频活动场所保留必要的传统服务方式。</w:t>
      </w:r>
      <w:r>
        <w:rPr>
          <w:rFonts w:hint="eastAsia"/>
          <w:color w:val="auto"/>
        </w:rPr>
        <w:t>到2025年底，“智慧养老社区”覆盖80%以上的城镇社区。2035年底，“智慧养老社区”实现全市城乡社区全覆盖。</w:t>
      </w:r>
    </w:p>
    <w:p>
      <w:pPr>
        <w:spacing w:line="560" w:lineRule="exact"/>
        <w:ind w:firstLine="602"/>
        <w:rPr>
          <w:color w:val="auto"/>
        </w:rPr>
      </w:pPr>
      <w:r>
        <w:rPr>
          <w:rFonts w:hint="eastAsia"/>
          <w:b/>
          <w:bCs/>
          <w:color w:val="auto"/>
        </w:rPr>
        <w:t>消除老年人“数字鸿沟”。</w:t>
      </w:r>
      <w:r>
        <w:rPr>
          <w:rFonts w:hint="eastAsia"/>
          <w:color w:val="auto"/>
        </w:rPr>
        <w:t>持续推动充分兼顾老年人需要的智慧社会建设，坚持传统服务方式与智能化服务创新并行。适应统筹推进常态化防控和经济社会发展工作要求，聚焦老年人日常生活涉及的高频事项，加强技术创新，提供更多智能化适老产品和服务，使智能化管理适应老年人，并不断改进传统服务方式，完善服务保障措施，建立长效机制。有效解决老年人面临的“数字鸿沟”问题，让老年人在信息化发展中有更多获得感、幸福感、安全感。</w:t>
      </w:r>
    </w:p>
    <w:p>
      <w:pPr>
        <w:pStyle w:val="4"/>
        <w:spacing w:before="205" w:after="205" w:line="560" w:lineRule="exact"/>
        <w:rPr>
          <w:color w:val="auto"/>
        </w:rPr>
      </w:pPr>
      <w:r>
        <w:rPr>
          <w:rFonts w:hint="eastAsia" w:ascii="Times New Roman" w:hAnsi="Times New Roman"/>
          <w:color w:val="auto"/>
        </w:rPr>
        <w:t>第</w:t>
      </w:r>
      <w:r>
        <w:rPr>
          <w:rFonts w:hint="eastAsia"/>
          <w:color w:val="auto"/>
          <w:lang w:val="en-US" w:eastAsia="zh-CN"/>
        </w:rPr>
        <w:t>16</w:t>
      </w:r>
      <w:r>
        <w:rPr>
          <w:rFonts w:hint="eastAsia" w:ascii="Times New Roman" w:hAnsi="Times New Roman"/>
          <w:color w:val="auto"/>
        </w:rPr>
        <w:t>条 提升城市老年宜居水平</w:t>
      </w:r>
    </w:p>
    <w:p>
      <w:pPr>
        <w:spacing w:line="560" w:lineRule="exact"/>
        <w:ind w:firstLine="602"/>
        <w:rPr>
          <w:color w:val="auto"/>
        </w:rPr>
      </w:pPr>
      <w:r>
        <w:rPr>
          <w:rFonts w:hint="eastAsia"/>
          <w:b/>
          <w:bCs/>
          <w:color w:val="auto"/>
        </w:rPr>
        <w:t>推进老年宜居城市建设。</w:t>
      </w:r>
      <w:r>
        <w:rPr>
          <w:rFonts w:hint="eastAsia"/>
          <w:color w:val="auto"/>
        </w:rPr>
        <w:t>健全社区生活服务网络，利用物流、家政等服务业，提供老年人适用的用品，完善老年人社区学习网络。构建适老信息交流环境，消除老年人通过网络等信息渠道获取资讯的障碍。完善养老服务设施的设置内容、优化服务设施的配置层级、提升养老服务设施空间设计水平，推进居家生活及照顾场所的辅具应用。推进老年友好健康环境建设，加强老年病医院、护理院、老年康复医院和综合医院老年科建设,为老年人提供便利的就医环境和社区健康支持环境。</w:t>
      </w:r>
    </w:p>
    <w:p>
      <w:pPr>
        <w:pStyle w:val="3"/>
        <w:spacing w:before="205" w:after="205" w:line="560" w:lineRule="exact"/>
        <w:rPr>
          <w:color w:val="auto"/>
        </w:rPr>
      </w:pPr>
      <w:bookmarkStart w:id="165" w:name="_Toc1990"/>
      <w:bookmarkStart w:id="166" w:name="_Toc4389"/>
      <w:bookmarkStart w:id="167" w:name="_Toc1678251272"/>
      <w:r>
        <w:rPr>
          <w:rFonts w:hint="eastAsia"/>
          <w:color w:val="auto"/>
        </w:rPr>
        <w:t>第二节 强化老有可依的权益保障落实</w:t>
      </w:r>
      <w:bookmarkEnd w:id="165"/>
      <w:bookmarkEnd w:id="166"/>
      <w:bookmarkEnd w:id="167"/>
    </w:p>
    <w:p>
      <w:pPr>
        <w:pStyle w:val="4"/>
        <w:spacing w:before="205" w:after="205" w:line="560" w:lineRule="exact"/>
        <w:rPr>
          <w:rFonts w:ascii="Times New Roman" w:hAnsi="Times New Roman"/>
          <w:color w:val="auto"/>
        </w:rPr>
      </w:pPr>
      <w:r>
        <w:rPr>
          <w:rFonts w:hint="eastAsia" w:ascii="Times New Roman" w:hAnsi="Times New Roman"/>
          <w:color w:val="auto"/>
        </w:rPr>
        <w:t>第</w:t>
      </w:r>
      <w:r>
        <w:rPr>
          <w:rFonts w:hint="eastAsia"/>
          <w:color w:val="auto"/>
          <w:lang w:val="en-US" w:eastAsia="zh-CN"/>
        </w:rPr>
        <w:t>17</w:t>
      </w:r>
      <w:r>
        <w:rPr>
          <w:rFonts w:hint="eastAsia" w:ascii="Times New Roman" w:hAnsi="Times New Roman"/>
          <w:color w:val="auto"/>
        </w:rPr>
        <w:t>条 加强老年人法律服务</w:t>
      </w:r>
    </w:p>
    <w:p>
      <w:pPr>
        <w:spacing w:line="560" w:lineRule="exact"/>
        <w:ind w:firstLine="602"/>
        <w:rPr>
          <w:color w:val="auto"/>
        </w:rPr>
      </w:pPr>
      <w:r>
        <w:rPr>
          <w:rFonts w:hint="eastAsia"/>
          <w:b/>
          <w:bCs/>
          <w:color w:val="auto"/>
        </w:rPr>
        <w:t>健全老年人维权网络和工作机制。</w:t>
      </w:r>
      <w:r>
        <w:rPr>
          <w:rFonts w:hint="eastAsia"/>
          <w:color w:val="auto"/>
        </w:rPr>
        <w:t>广泛宣传《中华人民共和国老年人权益保障法》《北京市居家养老服务条例》和相关法律和政策，开展社会普法教育，增强社会守法和老年群体维权意识。健全并完善老年维权网络，通过社会化运营方式为老年人提供更加便捷、高效、专业的维权服务，方便老年人就近获得及时的法律服务。广泛开展老年人法律援助志愿服务，组织法官、律师等专业人员到社区养老服务驿站等老年人比较集中的场所开展法律服务。</w:t>
      </w:r>
    </w:p>
    <w:p>
      <w:pPr>
        <w:pStyle w:val="4"/>
        <w:spacing w:before="205" w:after="205" w:line="560" w:lineRule="exact"/>
        <w:rPr>
          <w:rFonts w:ascii="Times New Roman" w:hAnsi="Times New Roman"/>
          <w:color w:val="auto"/>
        </w:rPr>
      </w:pPr>
      <w:r>
        <w:rPr>
          <w:rFonts w:hint="eastAsia" w:ascii="Times New Roman" w:hAnsi="Times New Roman"/>
          <w:color w:val="auto"/>
        </w:rPr>
        <w:t>第</w:t>
      </w:r>
      <w:r>
        <w:rPr>
          <w:rFonts w:hint="eastAsia"/>
          <w:color w:val="auto"/>
          <w:lang w:val="en-US" w:eastAsia="zh-CN"/>
        </w:rPr>
        <w:t>18</w:t>
      </w:r>
      <w:r>
        <w:rPr>
          <w:rFonts w:hint="eastAsia" w:ascii="Times New Roman" w:hAnsi="Times New Roman"/>
          <w:color w:val="auto"/>
        </w:rPr>
        <w:t>条  提升老年人社会优待水平</w:t>
      </w:r>
    </w:p>
    <w:p>
      <w:pPr>
        <w:spacing w:line="560" w:lineRule="exact"/>
        <w:ind w:firstLine="602"/>
        <w:rPr>
          <w:color w:val="auto"/>
        </w:rPr>
      </w:pPr>
      <w:r>
        <w:rPr>
          <w:rFonts w:hint="eastAsia"/>
          <w:b/>
          <w:bCs/>
          <w:color w:val="auto"/>
        </w:rPr>
        <w:t>拓展老年人优待服务。</w:t>
      </w:r>
      <w:r>
        <w:rPr>
          <w:rFonts w:hint="eastAsia"/>
          <w:color w:val="auto"/>
        </w:rPr>
        <w:t>根据城乡经济社会发展实际情况，分年龄、分层次确定老年人社会优待范围、优待对象和优待标准，逐步建立起与社会经济发展水平相适应的老年人社会优待机制。增强弱势老年群体的社会保护力度，提供生活保障、高龄照顾、医疗保健、法律援助等多方面、多层次的普惠性社会优待政策，切实提高广大老年人的生活质量。拓展老年人优待服务，提供公共服务、公共产品的政府部门、企业事业单位和其他组织应</w:t>
      </w:r>
      <w:r>
        <w:rPr>
          <w:rFonts w:hint="eastAsia"/>
          <w:color w:val="auto"/>
          <w:lang w:eastAsia="zh-CN"/>
        </w:rPr>
        <w:t>针</w:t>
      </w:r>
      <w:r>
        <w:rPr>
          <w:rFonts w:hint="eastAsia"/>
          <w:color w:val="auto"/>
        </w:rPr>
        <w:t>对老年人提供优先办理等便利服务，对特殊困难老年人上门服务。</w:t>
      </w:r>
    </w:p>
    <w:p>
      <w:pPr>
        <w:pStyle w:val="4"/>
        <w:spacing w:before="205" w:after="205" w:line="560" w:lineRule="exact"/>
        <w:rPr>
          <w:rFonts w:ascii="Times New Roman" w:hAnsi="Times New Roman"/>
          <w:color w:val="auto"/>
        </w:rPr>
      </w:pPr>
      <w:r>
        <w:rPr>
          <w:rFonts w:hint="eastAsia" w:ascii="Times New Roman" w:hAnsi="Times New Roman"/>
          <w:color w:val="auto"/>
        </w:rPr>
        <w:t>第</w:t>
      </w:r>
      <w:r>
        <w:rPr>
          <w:rFonts w:hint="eastAsia"/>
          <w:color w:val="auto"/>
          <w:lang w:val="en-US" w:eastAsia="zh-CN"/>
        </w:rPr>
        <w:t>19</w:t>
      </w:r>
      <w:r>
        <w:rPr>
          <w:rFonts w:hint="eastAsia" w:ascii="Times New Roman" w:hAnsi="Times New Roman"/>
          <w:color w:val="auto"/>
        </w:rPr>
        <w:t>条 加强老年人社会保障</w:t>
      </w:r>
    </w:p>
    <w:p>
      <w:pPr>
        <w:spacing w:line="560" w:lineRule="exact"/>
        <w:ind w:firstLine="602"/>
        <w:rPr>
          <w:color w:val="auto"/>
        </w:rPr>
      </w:pPr>
      <w:r>
        <w:rPr>
          <w:rFonts w:hint="eastAsia"/>
          <w:b/>
          <w:bCs/>
          <w:color w:val="auto"/>
        </w:rPr>
        <w:t>聚焦基本养老保障。</w:t>
      </w:r>
      <w:r>
        <w:rPr>
          <w:rFonts w:hint="eastAsia"/>
          <w:color w:val="auto"/>
        </w:rPr>
        <w:t>以老年人获得基本生活保障为前提，积极保护最弱势、最需要帮助的老年人群,重视保障老年人享有社会基本生活的能力以及获得生命健康的权</w:t>
      </w:r>
      <w:r>
        <w:rPr>
          <w:rFonts w:hint="eastAsia"/>
          <w:color w:val="auto"/>
          <w:lang w:eastAsia="zh-CN"/>
        </w:rPr>
        <w:t>利</w:t>
      </w:r>
      <w:r>
        <w:rPr>
          <w:rFonts w:hint="eastAsia"/>
          <w:color w:val="auto"/>
        </w:rPr>
        <w:t>。建立公平、合理、适度的基本养老保障体系，使老年人的生活得到基本保障。充分保障老年人获得共享社会发展的权利，建立基本养老金正常调整机制，保持老年人基本生活水平的提高与社会经济发展水平相适宜。鼓励发展社会商业性保险和补充性养老年金项目，为老年人提供多层次、多选择和安全的养老支持。</w:t>
      </w:r>
    </w:p>
    <w:p>
      <w:pPr>
        <w:spacing w:line="560" w:lineRule="exact"/>
        <w:ind w:firstLine="602"/>
        <w:rPr>
          <w:color w:val="auto"/>
        </w:rPr>
      </w:pPr>
      <w:r>
        <w:rPr>
          <w:rFonts w:hint="eastAsia"/>
          <w:b/>
          <w:bCs/>
          <w:color w:val="auto"/>
        </w:rPr>
        <w:t>完善基本医疗保险。</w:t>
      </w:r>
      <w:r>
        <w:rPr>
          <w:rFonts w:hint="eastAsia"/>
          <w:color w:val="auto"/>
        </w:rPr>
        <w:t>逐步提高医疗保险筹资标准和保障水平，为低收入、无收入的老人提供基本医疗保障。建立健全大病医疗、住院和老年人长期照料护理的保障制度，逐步降低老年人重病、大病的支付压力。简化各类困难老年群体就医补助的支付流程，帮助特殊困难老年人群获得及时、有效、便利的医疗救治。积极发展商业健康保险，发挥商业性保险的补充医疗保险作用，加快推进相对独立的长期护理保险，</w:t>
      </w:r>
      <w:r>
        <w:rPr>
          <w:rFonts w:hint="eastAsia"/>
          <w:color w:val="auto"/>
          <w:lang w:eastAsia="zh-CN"/>
        </w:rPr>
        <w:t>为</w:t>
      </w:r>
      <w:r>
        <w:rPr>
          <w:rFonts w:hint="eastAsia"/>
          <w:color w:val="auto"/>
        </w:rPr>
        <w:t>老年人提供自主选择和理赔支付等安全保护。</w:t>
      </w:r>
    </w:p>
    <w:p>
      <w:pPr>
        <w:spacing w:line="560" w:lineRule="exact"/>
        <w:ind w:firstLine="602"/>
        <w:rPr>
          <w:color w:val="auto"/>
        </w:rPr>
      </w:pPr>
      <w:r>
        <w:rPr>
          <w:rFonts w:hint="eastAsia"/>
          <w:b/>
          <w:bCs/>
          <w:color w:val="auto"/>
        </w:rPr>
        <w:t>健全社会援助支持制度。</w:t>
      </w:r>
      <w:r>
        <w:rPr>
          <w:rFonts w:hint="eastAsia"/>
          <w:color w:val="auto"/>
        </w:rPr>
        <w:t>制定和实施各项惠老保障救助措施和政策，应遵循权利平等、规则公平、待遇合理的原则，重点关注困难、独居、高龄、失能和优抚等特殊老年群体。完善城乡最低生活保障制度，落实最低生活保障标准的调整机制，保障低保困难老年人群体的生活。完善城乡医疗救助制度，不断解决贫困老年人的基本医疗保障问题。完善临时救助制度，保障因灾因病等支出性生活困难老年人的基本生活。</w:t>
      </w:r>
    </w:p>
    <w:p>
      <w:pPr>
        <w:pStyle w:val="3"/>
        <w:spacing w:before="205" w:after="205" w:line="560" w:lineRule="exact"/>
        <w:rPr>
          <w:color w:val="auto"/>
        </w:rPr>
      </w:pPr>
      <w:bookmarkStart w:id="168" w:name="_Toc6527"/>
      <w:bookmarkStart w:id="169" w:name="_Toc2037167237"/>
      <w:bookmarkStart w:id="170" w:name="_Toc26937"/>
      <w:bookmarkStart w:id="171" w:name="_Toc16255"/>
      <w:bookmarkStart w:id="172" w:name="_Toc11731"/>
      <w:bookmarkStart w:id="173" w:name="_Toc22664"/>
      <w:r>
        <w:rPr>
          <w:rFonts w:hint="eastAsia"/>
          <w:color w:val="auto"/>
        </w:rPr>
        <w:t>第三节 健全医养康养相结合的养老服务体系</w:t>
      </w:r>
      <w:bookmarkEnd w:id="168"/>
      <w:bookmarkEnd w:id="169"/>
      <w:bookmarkEnd w:id="170"/>
    </w:p>
    <w:p>
      <w:pPr>
        <w:pStyle w:val="4"/>
        <w:spacing w:before="205" w:after="205" w:line="560" w:lineRule="exact"/>
        <w:rPr>
          <w:rFonts w:ascii="Times New Roman" w:hAnsi="Times New Roman"/>
          <w:color w:val="auto"/>
        </w:rPr>
      </w:pPr>
      <w:r>
        <w:rPr>
          <w:rFonts w:hint="eastAsia" w:ascii="Times New Roman" w:hAnsi="Times New Roman"/>
          <w:color w:val="auto"/>
        </w:rPr>
        <w:t>第</w:t>
      </w:r>
      <w:r>
        <w:rPr>
          <w:rFonts w:hint="eastAsia"/>
          <w:color w:val="auto"/>
          <w:lang w:val="en-US" w:eastAsia="zh-CN"/>
        </w:rPr>
        <w:t>20</w:t>
      </w:r>
      <w:r>
        <w:rPr>
          <w:rFonts w:hint="eastAsia" w:ascii="Times New Roman" w:hAnsi="Times New Roman"/>
          <w:color w:val="auto"/>
        </w:rPr>
        <w:t>条 打造高质量的为老服务</w:t>
      </w:r>
    </w:p>
    <w:p>
      <w:pPr>
        <w:spacing w:line="560" w:lineRule="exact"/>
        <w:ind w:firstLine="602"/>
        <w:rPr>
          <w:color w:val="auto"/>
        </w:rPr>
      </w:pPr>
      <w:r>
        <w:rPr>
          <w:rFonts w:hint="eastAsia"/>
          <w:b/>
          <w:bCs/>
          <w:color w:val="auto"/>
        </w:rPr>
        <w:t>推动养老事业和养老产业协同发展，</w:t>
      </w:r>
      <w:r>
        <w:rPr>
          <w:rFonts w:hint="eastAsia"/>
          <w:color w:val="auto"/>
        </w:rPr>
        <w:t>健全基本养老服务体系，发展普惠型养老服务和互助性养老，支持家庭承担养老功能，培育养老新业态，构建居家社区机构相协调、医养康养相结合的养老服务体系，健全养老服务综合监管制度。</w:t>
      </w:r>
    </w:p>
    <w:p>
      <w:pPr>
        <w:pStyle w:val="4"/>
        <w:spacing w:before="205" w:after="205" w:line="560" w:lineRule="exact"/>
        <w:rPr>
          <w:rFonts w:ascii="Times New Roman" w:hAnsi="Times New Roman"/>
          <w:color w:val="auto"/>
        </w:rPr>
      </w:pPr>
      <w:r>
        <w:rPr>
          <w:rFonts w:hint="eastAsia" w:ascii="Times New Roman" w:hAnsi="Times New Roman"/>
          <w:color w:val="auto"/>
        </w:rPr>
        <w:t>第</w:t>
      </w:r>
      <w:r>
        <w:rPr>
          <w:rFonts w:hint="eastAsia"/>
          <w:color w:val="auto"/>
          <w:lang w:val="en-US" w:eastAsia="zh-CN"/>
        </w:rPr>
        <w:t>21</w:t>
      </w:r>
      <w:r>
        <w:rPr>
          <w:rFonts w:hint="eastAsia" w:ascii="Times New Roman" w:hAnsi="Times New Roman"/>
          <w:color w:val="auto"/>
        </w:rPr>
        <w:t>条 提升卫生服务水平</w:t>
      </w:r>
    </w:p>
    <w:p>
      <w:pPr>
        <w:adjustRightInd w:val="0"/>
        <w:snapToGrid w:val="0"/>
        <w:spacing w:line="560" w:lineRule="exact"/>
        <w:ind w:firstLine="562"/>
        <w:rPr>
          <w:color w:val="auto"/>
        </w:rPr>
      </w:pPr>
      <w:r>
        <w:rPr>
          <w:rFonts w:hint="eastAsia" w:ascii="宋体" w:hAnsi="宋体"/>
          <w:b/>
          <w:color w:val="auto"/>
          <w:sz w:val="28"/>
          <w:szCs w:val="28"/>
        </w:rPr>
        <w:t xml:space="preserve"> </w:t>
      </w:r>
      <w:r>
        <w:rPr>
          <w:rFonts w:hint="eastAsia" w:ascii="宋体" w:hAnsi="宋体"/>
          <w:b/>
          <w:color w:val="auto"/>
          <w:szCs w:val="30"/>
        </w:rPr>
        <w:t>健全社区卫生服务。</w:t>
      </w:r>
      <w:r>
        <w:rPr>
          <w:rFonts w:hint="eastAsia"/>
          <w:color w:val="auto"/>
        </w:rPr>
        <w:t>合理配置社区卫生健康服务资源，满足特殊老年人群的特殊医疗卫生需求。社区卫生服务应面向社会所有老年群体，让老年人充分受益。城区医疗卫生服务网点</w:t>
      </w:r>
      <w:r>
        <w:rPr>
          <w:rFonts w:hint="eastAsia"/>
          <w:color w:val="auto"/>
          <w:lang w:eastAsia="zh-CN"/>
        </w:rPr>
        <w:t>应</w:t>
      </w:r>
      <w:r>
        <w:rPr>
          <w:rFonts w:hint="eastAsia"/>
          <w:color w:val="auto"/>
        </w:rPr>
        <w:t>分布均衡、交通便利，确保步行15分钟内可到达。网点内设施应方便老年人了解、操作和使用，宜安排人员随时提供引导和指导。社区卫生服务应具备方便性、熟悉性和可及性。应通过布告、讲解等多种社区宣传途径，让老年人了解卫生服务系统的设置</w:t>
      </w:r>
      <w:r>
        <w:rPr>
          <w:rFonts w:hint="eastAsia"/>
          <w:color w:val="auto"/>
          <w:lang w:eastAsia="zh-CN"/>
        </w:rPr>
        <w:t>和使用方式</w:t>
      </w:r>
      <w:r>
        <w:rPr>
          <w:rFonts w:hint="eastAsia"/>
          <w:color w:val="auto"/>
        </w:rPr>
        <w:t>。</w:t>
      </w:r>
    </w:p>
    <w:p>
      <w:pPr>
        <w:pStyle w:val="4"/>
        <w:spacing w:before="205" w:after="205" w:line="560" w:lineRule="exact"/>
        <w:rPr>
          <w:rFonts w:ascii="Times New Roman" w:hAnsi="Times New Roman"/>
          <w:color w:val="auto"/>
        </w:rPr>
      </w:pPr>
      <w:r>
        <w:rPr>
          <w:rFonts w:hint="eastAsia" w:ascii="Times New Roman" w:hAnsi="Times New Roman"/>
          <w:color w:val="auto"/>
        </w:rPr>
        <w:t>第</w:t>
      </w:r>
      <w:r>
        <w:rPr>
          <w:rFonts w:hint="eastAsia"/>
          <w:color w:val="auto"/>
          <w:lang w:val="en-US" w:eastAsia="zh-CN"/>
        </w:rPr>
        <w:t>22</w:t>
      </w:r>
      <w:r>
        <w:rPr>
          <w:rFonts w:hint="eastAsia" w:ascii="Times New Roman" w:hAnsi="Times New Roman"/>
          <w:color w:val="auto"/>
        </w:rPr>
        <w:t>条 优化健康服务</w:t>
      </w:r>
    </w:p>
    <w:p>
      <w:pPr>
        <w:adjustRightInd w:val="0"/>
        <w:snapToGrid w:val="0"/>
        <w:spacing w:line="560" w:lineRule="exact"/>
        <w:ind w:firstLine="602"/>
        <w:rPr>
          <w:color w:val="auto"/>
        </w:rPr>
      </w:pPr>
      <w:r>
        <w:rPr>
          <w:rFonts w:hint="eastAsia" w:ascii="宋体" w:hAnsi="宋体"/>
          <w:b/>
          <w:color w:val="auto"/>
          <w:szCs w:val="30"/>
        </w:rPr>
        <w:t>加强社区健康管理。</w:t>
      </w:r>
      <w:r>
        <w:rPr>
          <w:rFonts w:hint="eastAsia"/>
          <w:color w:val="auto"/>
        </w:rPr>
        <w:t>促进以家庭健康保健为基础，社区提供服务为支持的老年卫生保健体系，为老年人家庭提供健康保健、心理辅导、康复训练、生活护理等咨询、培训、指导的支持性服务，为康复促进和健康维护提供足够的社区支持服务。建立、改进并不断创新社区老年人保健服务模式，结合家庭医生制度加以推进。针对老年人健康状况开展健康教育、疾病预防和疾病管理。针对老年人群常见疾病特征，建立老年慢性病谱，指导老年人开展健康管理。从疾病预防、健康促进、医疗康复、护理支持直至舒缓疗护</w:t>
      </w:r>
      <w:r>
        <w:rPr>
          <w:rFonts w:hint="eastAsia"/>
          <w:color w:val="auto"/>
          <w:lang w:eastAsia="zh-CN"/>
        </w:rPr>
        <w:t>一系列</w:t>
      </w:r>
      <w:r>
        <w:rPr>
          <w:rFonts w:hint="eastAsia"/>
          <w:color w:val="auto"/>
        </w:rPr>
        <w:t>连续、有针对性的健康管理，包括为部分失能者提供支持性日间照护，为失智老年人家属提供失智病人护理和心理指导等。</w:t>
      </w:r>
    </w:p>
    <w:p>
      <w:pPr>
        <w:pStyle w:val="3"/>
        <w:spacing w:before="205" w:after="205" w:line="560" w:lineRule="exact"/>
        <w:rPr>
          <w:color w:val="auto"/>
        </w:rPr>
      </w:pPr>
      <w:bookmarkStart w:id="174" w:name="_Toc9316"/>
      <w:bookmarkStart w:id="175" w:name="_Toc4191"/>
      <w:bookmarkStart w:id="176" w:name="_Toc1388083571"/>
      <w:r>
        <w:rPr>
          <w:rFonts w:hint="eastAsia"/>
          <w:color w:val="auto"/>
        </w:rPr>
        <w:t>第四节 改善适应老龄化形势的劳动力供给</w:t>
      </w:r>
      <w:bookmarkEnd w:id="174"/>
      <w:bookmarkEnd w:id="175"/>
      <w:bookmarkEnd w:id="176"/>
    </w:p>
    <w:p>
      <w:pPr>
        <w:pStyle w:val="4"/>
        <w:spacing w:before="205" w:after="205" w:line="560" w:lineRule="exact"/>
        <w:rPr>
          <w:rFonts w:ascii="Times New Roman" w:hAnsi="Times New Roman"/>
          <w:color w:val="auto"/>
        </w:rPr>
      </w:pPr>
      <w:r>
        <w:rPr>
          <w:rFonts w:hint="eastAsia" w:ascii="Times New Roman" w:hAnsi="Times New Roman"/>
          <w:color w:val="auto"/>
        </w:rPr>
        <w:t>第</w:t>
      </w:r>
      <w:r>
        <w:rPr>
          <w:rFonts w:hint="eastAsia"/>
          <w:color w:val="auto"/>
          <w:lang w:val="en-US" w:eastAsia="zh-CN"/>
        </w:rPr>
        <w:t>23</w:t>
      </w:r>
      <w:r>
        <w:rPr>
          <w:rFonts w:ascii="Times New Roman" w:hAnsi="Times New Roman"/>
          <w:color w:val="auto"/>
        </w:rPr>
        <w:t>条</w:t>
      </w:r>
      <w:r>
        <w:rPr>
          <w:rFonts w:hint="eastAsia" w:ascii="Times New Roman" w:hAnsi="Times New Roman"/>
          <w:color w:val="auto"/>
        </w:rPr>
        <w:t xml:space="preserve"> </w:t>
      </w:r>
      <w:r>
        <w:rPr>
          <w:rFonts w:ascii="Times New Roman" w:hAnsi="Times New Roman"/>
          <w:color w:val="auto"/>
        </w:rPr>
        <w:t>创造老有所为的就业环境</w:t>
      </w:r>
    </w:p>
    <w:p>
      <w:pPr>
        <w:spacing w:line="560" w:lineRule="exact"/>
        <w:ind w:firstLine="602"/>
        <w:rPr>
          <w:color w:val="auto"/>
        </w:rPr>
      </w:pPr>
      <w:r>
        <w:rPr>
          <w:rFonts w:hint="eastAsia"/>
          <w:b/>
          <w:bCs/>
          <w:color w:val="auto"/>
        </w:rPr>
        <w:t>充分调动大龄劳动者和老年人参与就业创业的积极性。</w:t>
      </w:r>
      <w:r>
        <w:rPr>
          <w:rFonts w:hint="eastAsia"/>
          <w:color w:val="auto"/>
        </w:rPr>
        <w:t>积极拓展老年人力资源开发渠道，建立老年人才信息库，搭建公共服务平台，为广大老年人在更大程度、更宽领域参与经济社会发展提供便利。鼓励专业技术领域人才延长工作年限，出台福利优惠等政策，鼓励老年劳动者自主就业创业。推动用人单位与受聘老年人依法签订协议，保护老年人在劳动过程中的合法收入、人身安全和健康权益。充分挖掘、灵活开发农村为老就业岗位，促进老年人剩余劳力内部消化。帮助有意愿且身体状况允许的贫困老年人接受岗位技能培训或农业实用技术培训，通过劳动脱贫或致富。持续推进老党员先锋队、老干部宣讲团两支队伍的规范化建设，引导广大老党员、离退休干部积极参与社会、社区治理，为建设和谐宜居之都贡献力量。</w:t>
      </w:r>
    </w:p>
    <w:p>
      <w:pPr>
        <w:pStyle w:val="4"/>
        <w:spacing w:before="205" w:after="205" w:line="560" w:lineRule="exact"/>
        <w:rPr>
          <w:rFonts w:ascii="Times New Roman" w:hAnsi="Times New Roman"/>
          <w:color w:val="auto"/>
        </w:rPr>
      </w:pPr>
      <w:r>
        <w:rPr>
          <w:rFonts w:hint="eastAsia" w:ascii="Times New Roman" w:hAnsi="Times New Roman"/>
          <w:color w:val="auto"/>
        </w:rPr>
        <w:t>第</w:t>
      </w:r>
      <w:r>
        <w:rPr>
          <w:rFonts w:hint="eastAsia"/>
          <w:color w:val="auto"/>
          <w:lang w:val="en-US" w:eastAsia="zh-CN"/>
        </w:rPr>
        <w:t>24</w:t>
      </w:r>
      <w:r>
        <w:rPr>
          <w:rFonts w:ascii="Times New Roman" w:hAnsi="Times New Roman"/>
          <w:color w:val="auto"/>
        </w:rPr>
        <w:t>条</w:t>
      </w:r>
      <w:r>
        <w:rPr>
          <w:rFonts w:hint="eastAsia" w:ascii="Times New Roman" w:hAnsi="Times New Roman"/>
          <w:color w:val="auto"/>
        </w:rPr>
        <w:t xml:space="preserve"> 构建为老服务的人力资源队伍</w:t>
      </w:r>
    </w:p>
    <w:p>
      <w:pPr>
        <w:autoSpaceDE w:val="0"/>
        <w:autoSpaceDN w:val="0"/>
        <w:adjustRightInd w:val="0"/>
        <w:spacing w:line="560" w:lineRule="exact"/>
        <w:ind w:firstLine="602"/>
        <w:rPr>
          <w:color w:val="auto"/>
        </w:rPr>
      </w:pPr>
      <w:r>
        <w:rPr>
          <w:rFonts w:hint="eastAsia"/>
          <w:b/>
          <w:bCs/>
          <w:color w:val="auto"/>
        </w:rPr>
        <w:t>加强养老服务人才队伍建设。</w:t>
      </w:r>
      <w:r>
        <w:rPr>
          <w:rFonts w:hint="eastAsia"/>
          <w:color w:val="auto"/>
        </w:rPr>
        <w:t>分类培养养老护理人才、专业技术人才和养老领军人才，形成层次分明的人才队伍体系。出台《北京市养老服务人才培养培训实施办法》，开发职业教材和职业培训包。开展养老服务人才培训提升行动。对养老服务机构招用本市登记失业人员等重点群体且符合签订劳动合同、缴纳社会保险等条件的，按规定给予岗位补贴和社会保险补贴。深化养老护理师改革试点。</w:t>
      </w:r>
    </w:p>
    <w:p>
      <w:pPr>
        <w:pStyle w:val="4"/>
        <w:spacing w:before="205" w:after="205" w:line="560" w:lineRule="exact"/>
        <w:rPr>
          <w:rFonts w:ascii="Times New Roman" w:hAnsi="Times New Roman"/>
          <w:color w:val="auto"/>
        </w:rPr>
      </w:pPr>
      <w:r>
        <w:rPr>
          <w:rFonts w:hint="eastAsia" w:ascii="Times New Roman" w:hAnsi="Times New Roman"/>
          <w:color w:val="auto"/>
        </w:rPr>
        <w:t>第</w:t>
      </w:r>
      <w:r>
        <w:rPr>
          <w:rFonts w:hint="eastAsia"/>
          <w:color w:val="auto"/>
          <w:lang w:val="en-US" w:eastAsia="zh-CN"/>
        </w:rPr>
        <w:t>25</w:t>
      </w:r>
      <w:r>
        <w:rPr>
          <w:rFonts w:hint="eastAsia" w:ascii="Times New Roman" w:hAnsi="Times New Roman"/>
          <w:color w:val="auto"/>
        </w:rPr>
        <w:t>条 推进专业人才培训体系建设</w:t>
      </w:r>
    </w:p>
    <w:p>
      <w:pPr>
        <w:spacing w:line="560" w:lineRule="exact"/>
        <w:ind w:firstLine="602"/>
        <w:rPr>
          <w:color w:val="auto"/>
        </w:rPr>
      </w:pPr>
      <w:r>
        <w:rPr>
          <w:rFonts w:hint="eastAsia"/>
          <w:b/>
          <w:bCs/>
          <w:color w:val="auto"/>
        </w:rPr>
        <w:t>健全人才培育机制</w:t>
      </w:r>
      <w:r>
        <w:rPr>
          <w:rFonts w:hint="eastAsia"/>
          <w:color w:val="auto"/>
        </w:rPr>
        <w:t>。</w:t>
      </w:r>
      <w:r>
        <w:rPr>
          <w:color w:val="auto"/>
        </w:rPr>
        <w:t>强化</w:t>
      </w:r>
      <w:r>
        <w:rPr>
          <w:rFonts w:hint="eastAsia"/>
          <w:color w:val="auto"/>
        </w:rPr>
        <w:t>养老服务业</w:t>
      </w:r>
      <w:r>
        <w:rPr>
          <w:color w:val="auto"/>
        </w:rPr>
        <w:t>师资队伍建设</w:t>
      </w:r>
      <w:r>
        <w:rPr>
          <w:rFonts w:hint="eastAsia"/>
          <w:color w:val="auto"/>
        </w:rPr>
        <w:t>，</w:t>
      </w:r>
      <w:r>
        <w:rPr>
          <w:color w:val="auto"/>
        </w:rPr>
        <w:t>完善养老服务、医疗护理、社会工作、健康管理、康复治疗、康复辅助器具应用、社区管理与服务等专业学科体系建设。</w:t>
      </w:r>
      <w:r>
        <w:rPr>
          <w:rFonts w:hint="eastAsia"/>
          <w:color w:val="auto"/>
        </w:rPr>
        <w:t>规范上岗培训和继续教育，明确培训时数，完善实训平台，依托养老服务职业技能培训院校和各类培训机构，建立全市养老服务培训指导、技能交流平台，鼓励职业院校挂牌养老服务实习实训基地。健全完善养老服务人才职业培训制度，探索技能水平和人才评价机制，对养老护理人员实行全市统一录入管理，建立养老护理人员信用评价体系。</w:t>
      </w:r>
      <w:r>
        <w:rPr>
          <w:color w:val="auto"/>
        </w:rPr>
        <w:t>加大对养老</w:t>
      </w:r>
      <w:r>
        <w:rPr>
          <w:rFonts w:hint="eastAsia"/>
          <w:color w:val="auto"/>
        </w:rPr>
        <w:t>服务</w:t>
      </w:r>
      <w:r>
        <w:rPr>
          <w:color w:val="auto"/>
        </w:rPr>
        <w:t>机构稳定从业人员的激励力度</w:t>
      </w:r>
      <w:r>
        <w:rPr>
          <w:rFonts w:hint="eastAsia"/>
          <w:color w:val="auto"/>
        </w:rPr>
        <w:t>，加强政府补贴用于养老从业人员的评估和监测</w:t>
      </w:r>
      <w:r>
        <w:rPr>
          <w:color w:val="auto"/>
        </w:rPr>
        <w:t>。</w:t>
      </w:r>
      <w:r>
        <w:rPr>
          <w:rFonts w:hint="eastAsia"/>
          <w:color w:val="auto"/>
        </w:rPr>
        <w:t>建立养老护理员职业技能大赛、技能大师工作室机制，获得技师及以上职业资格证书或者经认定相应职业技能等级的，其所在单位可按规定申请建立“技能大师工作室”。</w:t>
      </w:r>
      <w:r>
        <w:rPr>
          <w:rFonts w:hint="eastAsia" w:ascii="等线 Light" w:hAnsi="等线 Light" w:eastAsia="黑体"/>
          <w:bCs/>
          <w:color w:val="auto"/>
          <w:sz w:val="32"/>
          <w:szCs w:val="32"/>
        </w:rPr>
        <w:t xml:space="preserve"> </w:t>
      </w:r>
    </w:p>
    <w:p>
      <w:pPr>
        <w:pStyle w:val="3"/>
        <w:spacing w:before="205" w:after="205" w:line="560" w:lineRule="exact"/>
        <w:rPr>
          <w:color w:val="auto"/>
        </w:rPr>
      </w:pPr>
      <w:bookmarkStart w:id="177" w:name="_Toc583809614"/>
      <w:bookmarkStart w:id="178" w:name="_Toc23665"/>
      <w:bookmarkStart w:id="179" w:name="_Toc27384"/>
      <w:r>
        <w:rPr>
          <w:rFonts w:hint="eastAsia"/>
          <w:color w:val="auto"/>
        </w:rPr>
        <w:t>第五节 丰富老有所乐的精神文化生活</w:t>
      </w:r>
      <w:bookmarkEnd w:id="177"/>
      <w:bookmarkEnd w:id="178"/>
      <w:bookmarkEnd w:id="179"/>
    </w:p>
    <w:p>
      <w:pPr>
        <w:pStyle w:val="4"/>
        <w:spacing w:before="205" w:after="205" w:line="560" w:lineRule="exact"/>
        <w:rPr>
          <w:rFonts w:ascii="Times New Roman" w:hAnsi="Times New Roman"/>
          <w:color w:val="auto"/>
        </w:rPr>
      </w:pPr>
      <w:r>
        <w:rPr>
          <w:rFonts w:hint="eastAsia" w:ascii="Times New Roman" w:hAnsi="Times New Roman"/>
          <w:color w:val="auto"/>
        </w:rPr>
        <w:t>第</w:t>
      </w:r>
      <w:r>
        <w:rPr>
          <w:rFonts w:hint="eastAsia"/>
          <w:color w:val="auto"/>
          <w:lang w:val="en-US" w:eastAsia="zh-CN"/>
        </w:rPr>
        <w:t>26</w:t>
      </w:r>
      <w:r>
        <w:rPr>
          <w:rFonts w:hint="eastAsia" w:ascii="Times New Roman" w:hAnsi="Times New Roman"/>
          <w:color w:val="auto"/>
        </w:rPr>
        <w:t>条 发展文化体育服务</w:t>
      </w:r>
    </w:p>
    <w:p>
      <w:pPr>
        <w:spacing w:line="560" w:lineRule="exact"/>
        <w:ind w:firstLine="602"/>
        <w:rPr>
          <w:color w:val="auto"/>
        </w:rPr>
      </w:pPr>
      <w:r>
        <w:rPr>
          <w:b/>
          <w:bCs/>
          <w:color w:val="auto"/>
        </w:rPr>
        <w:t>开展老年人文化</w:t>
      </w:r>
      <w:r>
        <w:rPr>
          <w:rFonts w:hint="eastAsia"/>
          <w:b/>
          <w:bCs/>
          <w:color w:val="auto"/>
        </w:rPr>
        <w:t>体育</w:t>
      </w:r>
      <w:r>
        <w:rPr>
          <w:b/>
          <w:bCs/>
          <w:color w:val="auto"/>
        </w:rPr>
        <w:t>活动</w:t>
      </w:r>
      <w:r>
        <w:rPr>
          <w:rFonts w:hint="eastAsia"/>
          <w:b/>
          <w:bCs/>
          <w:color w:val="auto"/>
          <w:lang w:eastAsia="zh-CN"/>
        </w:rPr>
        <w:t>。</w:t>
      </w:r>
      <w:r>
        <w:rPr>
          <w:rFonts w:hint="eastAsia"/>
          <w:color w:val="auto"/>
        </w:rPr>
        <w:t>强化</w:t>
      </w:r>
      <w:r>
        <w:rPr>
          <w:color w:val="auto"/>
        </w:rPr>
        <w:t>民间老年文艺团体建设和管理</w:t>
      </w:r>
      <w:r>
        <w:rPr>
          <w:rFonts w:hint="eastAsia"/>
          <w:color w:val="auto"/>
          <w:lang w:eastAsia="zh-CN"/>
        </w:rPr>
        <w:t>，</w:t>
      </w:r>
      <w:r>
        <w:rPr>
          <w:color w:val="auto"/>
        </w:rPr>
        <w:t>充分发挥体育健身在促进主动健康、积极健康等方面的独特作用。推广体质测试和运动处方，加强科学健身指导，提高老年人身体素质和健康水平。扶持老年大学和老年文体组织发展。到2025年底，在全市基本建立较完善的政府向社会力量购买老年教育文化体育服务制度。</w:t>
      </w:r>
    </w:p>
    <w:p>
      <w:pPr>
        <w:pStyle w:val="4"/>
        <w:spacing w:before="205" w:after="205" w:line="560" w:lineRule="exact"/>
        <w:rPr>
          <w:rFonts w:ascii="Times New Roman" w:hAnsi="Times New Roman"/>
          <w:color w:val="auto"/>
        </w:rPr>
      </w:pPr>
      <w:r>
        <w:rPr>
          <w:rFonts w:hint="eastAsia" w:ascii="Times New Roman" w:hAnsi="Times New Roman"/>
          <w:color w:val="auto"/>
        </w:rPr>
        <w:t>第</w:t>
      </w:r>
      <w:r>
        <w:rPr>
          <w:rFonts w:hint="eastAsia"/>
          <w:color w:val="auto"/>
          <w:lang w:val="en-US" w:eastAsia="zh-CN"/>
        </w:rPr>
        <w:t>27</w:t>
      </w:r>
      <w:r>
        <w:rPr>
          <w:rFonts w:hint="eastAsia" w:ascii="Times New Roman" w:hAnsi="Times New Roman"/>
          <w:color w:val="auto"/>
        </w:rPr>
        <w:t>条 大力发展老年教育培训</w:t>
      </w:r>
    </w:p>
    <w:p>
      <w:pPr>
        <w:spacing w:line="560" w:lineRule="exact"/>
        <w:ind w:firstLine="602"/>
        <w:rPr>
          <w:color w:val="auto"/>
        </w:rPr>
      </w:pPr>
      <w:r>
        <w:rPr>
          <w:rFonts w:hint="eastAsia"/>
          <w:b/>
          <w:bCs/>
          <w:color w:val="auto"/>
        </w:rPr>
        <w:t>鼓励社会力量兴办老年教育。</w:t>
      </w:r>
      <w:r>
        <w:rPr>
          <w:rFonts w:hint="eastAsia"/>
          <w:color w:val="auto"/>
        </w:rPr>
        <w:t>鼓励和支持企业、社会组织和个人设立老年教育发展基金。搭建全市老年教育公共服务平台，促进老年教育资源共建共享。加强规划和政策引领，多路径扩大老年教育供给，丰富老年教育内容与形式，完善养教结合模式，提供开放便利、灵活多样的老年教育服务。推动各级各类学校开展老年教育，引导发展远程老年教育，进一步推动部门、企业、高等学校举办的老年大学</w:t>
      </w:r>
      <w:r>
        <w:rPr>
          <w:rFonts w:hint="eastAsia"/>
          <w:color w:val="auto"/>
          <w:lang w:eastAsia="zh-CN"/>
        </w:rPr>
        <w:t>，</w:t>
      </w:r>
      <w:r>
        <w:rPr>
          <w:rFonts w:hint="eastAsia"/>
          <w:color w:val="auto"/>
        </w:rPr>
        <w:t>提高面向社会办学的开放程度。</w:t>
      </w:r>
      <w:r>
        <w:rPr>
          <w:color w:val="auto"/>
        </w:rPr>
        <w:t>坚持“老有所学”</w:t>
      </w:r>
      <w:r>
        <w:rPr>
          <w:rFonts w:hint="eastAsia"/>
          <w:color w:val="auto"/>
        </w:rPr>
        <w:t>“老有所为”</w:t>
      </w:r>
      <w:r>
        <w:rPr>
          <w:color w:val="auto"/>
        </w:rPr>
        <w:t>，拓展老年大学（学校）办学渠道，面向全体老年人提供教育服务。</w:t>
      </w:r>
      <w:r>
        <w:rPr>
          <w:rFonts w:hint="eastAsia"/>
          <w:color w:val="auto"/>
        </w:rPr>
        <w:t>实现办学点全覆盖，推动老年大学办学点、学习网点向边远地区、农村和城市社区延伸，逐步提高老年教育覆盖率。制定办学标准，提升教学场所和设施的现代化、规范化水平。加强监管，防止培训过程中发生欺诈和推销等行为。</w:t>
      </w:r>
    </w:p>
    <w:p>
      <w:pPr>
        <w:pStyle w:val="4"/>
        <w:spacing w:before="205" w:after="205" w:line="560" w:lineRule="exact"/>
        <w:rPr>
          <w:rFonts w:ascii="Times New Roman" w:hAnsi="Times New Roman"/>
          <w:color w:val="auto"/>
        </w:rPr>
      </w:pPr>
      <w:r>
        <w:rPr>
          <w:rFonts w:hint="eastAsia" w:ascii="Times New Roman" w:hAnsi="Times New Roman"/>
          <w:color w:val="auto"/>
        </w:rPr>
        <w:t>第</w:t>
      </w:r>
      <w:r>
        <w:rPr>
          <w:rFonts w:hint="eastAsia"/>
          <w:color w:val="auto"/>
          <w:lang w:val="en-US" w:eastAsia="zh-CN"/>
        </w:rPr>
        <w:t>28</w:t>
      </w:r>
      <w:r>
        <w:rPr>
          <w:rFonts w:hint="eastAsia" w:ascii="Times New Roman" w:hAnsi="Times New Roman"/>
          <w:color w:val="auto"/>
        </w:rPr>
        <w:t>条 提升精神关爱服务水平</w:t>
      </w:r>
    </w:p>
    <w:p>
      <w:pPr>
        <w:spacing w:line="560" w:lineRule="exact"/>
        <w:ind w:firstLine="602"/>
        <w:rPr>
          <w:color w:val="auto"/>
        </w:rPr>
      </w:pPr>
      <w:r>
        <w:rPr>
          <w:b/>
          <w:bCs/>
          <w:color w:val="auto"/>
        </w:rPr>
        <w:t>促进老年人身心健康。</w:t>
      </w:r>
      <w:r>
        <w:rPr>
          <w:color w:val="auto"/>
        </w:rPr>
        <w:t>拓展老年健康管理内容，</w:t>
      </w:r>
      <w:r>
        <w:rPr>
          <w:rFonts w:hint="eastAsia"/>
          <w:color w:val="auto"/>
        </w:rPr>
        <w:t>加强老年人心理研究，</w:t>
      </w:r>
      <w:r>
        <w:rPr>
          <w:color w:val="auto"/>
        </w:rPr>
        <w:t>改进</w:t>
      </w:r>
      <w:r>
        <w:rPr>
          <w:rFonts w:hint="eastAsia"/>
          <w:color w:val="auto"/>
        </w:rPr>
        <w:t>老年人精神和健康</w:t>
      </w:r>
      <w:r>
        <w:rPr>
          <w:color w:val="auto"/>
        </w:rPr>
        <w:t>管理方式。开展情感交流、旅游观光和互动养老、亲情抚慰、心理疏导等多种老年群体喜闻乐见的专业化服务，丰富老年人精神文化生活。加强专业化老年人社会工作者团队建设，发挥社会工作服务机构和社会工作者作用，</w:t>
      </w:r>
      <w:r>
        <w:rPr>
          <w:rFonts w:hint="eastAsia"/>
          <w:color w:val="auto"/>
        </w:rPr>
        <w:t>开发老年人心理专业岗位，</w:t>
      </w:r>
      <w:r>
        <w:rPr>
          <w:color w:val="auto"/>
        </w:rPr>
        <w:t>重点为独居、失独、失能等特殊老年人提供上门的专业服务和志愿服务。加强农村留守、经济困难老年人关爱服务工作。</w:t>
      </w:r>
    </w:p>
    <w:p>
      <w:pPr>
        <w:pStyle w:val="4"/>
        <w:spacing w:before="205" w:after="205" w:line="560" w:lineRule="exact"/>
        <w:rPr>
          <w:rFonts w:ascii="Times New Roman" w:hAnsi="Times New Roman"/>
          <w:color w:val="auto"/>
        </w:rPr>
      </w:pPr>
      <w:r>
        <w:rPr>
          <w:rFonts w:hint="eastAsia" w:ascii="Times New Roman" w:hAnsi="Times New Roman"/>
          <w:color w:val="auto"/>
        </w:rPr>
        <w:t>第</w:t>
      </w:r>
      <w:r>
        <w:rPr>
          <w:rFonts w:hint="eastAsia"/>
          <w:color w:val="auto"/>
          <w:lang w:val="en-US" w:eastAsia="zh-CN"/>
        </w:rPr>
        <w:t>29</w:t>
      </w:r>
      <w:r>
        <w:rPr>
          <w:rFonts w:hint="eastAsia" w:ascii="Times New Roman" w:hAnsi="Times New Roman"/>
          <w:color w:val="auto"/>
        </w:rPr>
        <w:t>条 促进养老文化可持续发展</w:t>
      </w:r>
    </w:p>
    <w:p>
      <w:pPr>
        <w:pStyle w:val="45"/>
        <w:spacing w:line="560" w:lineRule="exact"/>
        <w:ind w:firstLine="451" w:firstLineChars="150"/>
        <w:rPr>
          <w:rFonts w:cs="仿宋"/>
          <w:color w:val="auto"/>
          <w:szCs w:val="30"/>
        </w:rPr>
      </w:pPr>
      <w:r>
        <w:rPr>
          <w:rFonts w:hint="eastAsia"/>
          <w:b/>
          <w:bCs/>
          <w:color w:val="auto"/>
        </w:rPr>
        <w:t xml:space="preserve"> 完善老年精神文化生活组织网络。</w:t>
      </w:r>
      <w:r>
        <w:rPr>
          <w:rFonts w:hint="eastAsia" w:cs="仿宋"/>
          <w:color w:val="auto"/>
          <w:szCs w:val="30"/>
        </w:rPr>
        <w:t>以促进本地区养老文化体系可持续发展为方向，通过举办形式多样的养老文化交流活动，不断挖掘养老文化，展示新时代老年人风采。加强老年活动平台建设，扶持各区和街道（乡镇）组织建设内容充实、艺术水平较高、具有发展潜力的基层老年文教体专业团队和活动基地，培育优秀基层老年文教体活动骨干。建设富有北京特色的北京民间艺术团老年分团，支持特色老年文化活动的开展。根据各区文化传统和地域特色为老年人开展特色活动和品牌项目，围绕重大文化活动开展适合老年人群欣赏和参与的演出、展览、比赛等活动，丰富老有所乐的精神文化生活。</w:t>
      </w:r>
    </w:p>
    <w:p>
      <w:pPr>
        <w:pStyle w:val="3"/>
        <w:spacing w:before="205" w:after="205" w:line="560" w:lineRule="exact"/>
        <w:rPr>
          <w:color w:val="auto"/>
        </w:rPr>
      </w:pPr>
      <w:bookmarkStart w:id="180" w:name="_Toc8009"/>
      <w:bookmarkStart w:id="181" w:name="_Toc4222"/>
      <w:bookmarkStart w:id="182" w:name="_Toc841196414"/>
      <w:r>
        <w:rPr>
          <w:rFonts w:hint="eastAsia"/>
          <w:color w:val="auto"/>
        </w:rPr>
        <w:t>第六节 倡导多元主体共同参与</w:t>
      </w:r>
      <w:bookmarkEnd w:id="171"/>
      <w:bookmarkEnd w:id="172"/>
      <w:bookmarkEnd w:id="173"/>
      <w:bookmarkEnd w:id="180"/>
      <w:bookmarkEnd w:id="181"/>
      <w:bookmarkEnd w:id="182"/>
    </w:p>
    <w:p>
      <w:pPr>
        <w:pStyle w:val="4"/>
        <w:spacing w:before="205" w:after="205" w:line="560" w:lineRule="exact"/>
        <w:rPr>
          <w:rFonts w:ascii="Times New Roman" w:hAnsi="Times New Roman"/>
          <w:color w:val="auto"/>
        </w:rPr>
      </w:pPr>
      <w:r>
        <w:rPr>
          <w:rFonts w:hint="eastAsia" w:ascii="Times New Roman" w:hAnsi="Times New Roman"/>
          <w:color w:val="auto"/>
        </w:rPr>
        <w:t>第</w:t>
      </w:r>
      <w:r>
        <w:rPr>
          <w:rFonts w:hint="eastAsia"/>
          <w:color w:val="auto"/>
          <w:lang w:val="en-US" w:eastAsia="zh-CN"/>
        </w:rPr>
        <w:t>30</w:t>
      </w:r>
      <w:r>
        <w:rPr>
          <w:rFonts w:hint="eastAsia" w:ascii="Times New Roman" w:hAnsi="Times New Roman"/>
          <w:color w:val="auto"/>
        </w:rPr>
        <w:t>条 推行积极健康养老理念</w:t>
      </w:r>
    </w:p>
    <w:p>
      <w:pPr>
        <w:spacing w:line="560" w:lineRule="exact"/>
        <w:ind w:firstLine="602"/>
        <w:rPr>
          <w:color w:val="auto"/>
        </w:rPr>
      </w:pPr>
      <w:r>
        <w:rPr>
          <w:rFonts w:hint="eastAsia"/>
          <w:b/>
          <w:bCs/>
          <w:color w:val="auto"/>
        </w:rPr>
        <w:t>宣传和普及</w:t>
      </w:r>
      <w:r>
        <w:rPr>
          <w:b/>
          <w:bCs/>
          <w:color w:val="auto"/>
        </w:rPr>
        <w:t>科学的健康观念</w:t>
      </w:r>
      <w:r>
        <w:rPr>
          <w:color w:val="auto"/>
        </w:rPr>
        <w:t>，</w:t>
      </w:r>
      <w:r>
        <w:rPr>
          <w:rFonts w:hint="eastAsia"/>
          <w:b/>
          <w:bCs/>
          <w:color w:val="auto"/>
        </w:rPr>
        <w:t>倡导代际和谐社会文化。</w:t>
      </w:r>
      <w:r>
        <w:rPr>
          <w:rFonts w:hint="eastAsia"/>
          <w:color w:val="auto"/>
        </w:rPr>
        <w:t>引导全社会增强接纳、尊重、帮助老年人的关爱意识,增强不同代际间的文化融合和社会认同,统筹解决各年龄群体的责任分担、利益调处、资源共享等问题,实现家庭和睦、代际和顺、社会和谐,为老年人创造良好的生活氛围。</w:t>
      </w:r>
      <w:r>
        <w:rPr>
          <w:color w:val="auto"/>
        </w:rPr>
        <w:t>鼓励老年人树立终身发展理念，保持自尊</w:t>
      </w:r>
      <w:r>
        <w:rPr>
          <w:rFonts w:hint="eastAsia"/>
          <w:color w:val="auto"/>
        </w:rPr>
        <w:t>、</w:t>
      </w:r>
      <w:r>
        <w:rPr>
          <w:color w:val="auto"/>
        </w:rPr>
        <w:t>自爱</w:t>
      </w:r>
      <w:r>
        <w:rPr>
          <w:rFonts w:hint="eastAsia"/>
          <w:color w:val="auto"/>
        </w:rPr>
        <w:t>、</w:t>
      </w:r>
      <w:r>
        <w:rPr>
          <w:color w:val="auto"/>
        </w:rPr>
        <w:t>自立</w:t>
      </w:r>
      <w:r>
        <w:rPr>
          <w:rFonts w:hint="eastAsia"/>
          <w:color w:val="auto"/>
        </w:rPr>
        <w:t>、</w:t>
      </w:r>
      <w:r>
        <w:rPr>
          <w:color w:val="auto"/>
        </w:rPr>
        <w:t>自强的精神风貌，积极面对老年生活</w:t>
      </w:r>
      <w:r>
        <w:rPr>
          <w:rFonts w:hint="eastAsia"/>
          <w:color w:val="auto"/>
        </w:rPr>
        <w:t>，</w:t>
      </w:r>
      <w:r>
        <w:rPr>
          <w:color w:val="auto"/>
        </w:rPr>
        <w:t>保持身心健康</w:t>
      </w:r>
      <w:r>
        <w:rPr>
          <w:rFonts w:hint="eastAsia"/>
          <w:color w:val="auto"/>
        </w:rPr>
        <w:t>，</w:t>
      </w:r>
      <w:r>
        <w:rPr>
          <w:color w:val="auto"/>
        </w:rPr>
        <w:t>参与社会发展</w:t>
      </w:r>
      <w:r>
        <w:rPr>
          <w:rFonts w:hint="eastAsia"/>
          <w:color w:val="auto"/>
        </w:rPr>
        <w:t>，</w:t>
      </w:r>
      <w:r>
        <w:rPr>
          <w:color w:val="auto"/>
        </w:rPr>
        <w:t>提高生活品质。在全</w:t>
      </w:r>
      <w:r>
        <w:rPr>
          <w:rFonts w:hint="eastAsia"/>
          <w:color w:val="auto"/>
        </w:rPr>
        <w:t>市</w:t>
      </w:r>
      <w:r>
        <w:rPr>
          <w:color w:val="auto"/>
        </w:rPr>
        <w:t>开展人口老龄化国情教育、老龄政策法规教育、老年人照护基本常识教育，倡导健康、积极、成功、向上的现代养老服务理念，大力弘扬中华民族的传统孝道文化和养老文化，发挥自尊、自立、自强和互助养老的能动性、创造性。引导老年人树立社会化养老服务的消费观念，营造安全、便利、诚信的老年消费环境。加强老年人基层组织建设，做好新</w:t>
      </w:r>
      <w:r>
        <w:rPr>
          <w:rFonts w:hint="eastAsia"/>
          <w:color w:val="auto"/>
        </w:rPr>
        <w:t>时代</w:t>
      </w:r>
      <w:r>
        <w:rPr>
          <w:color w:val="auto"/>
        </w:rPr>
        <w:t>下老年思想教育和评比表彰工作。</w:t>
      </w:r>
    </w:p>
    <w:p>
      <w:pPr>
        <w:pStyle w:val="4"/>
        <w:spacing w:before="205" w:after="205" w:line="560" w:lineRule="exact"/>
        <w:rPr>
          <w:rFonts w:ascii="Times New Roman" w:hAnsi="Times New Roman"/>
          <w:color w:val="auto"/>
        </w:rPr>
      </w:pPr>
      <w:r>
        <w:rPr>
          <w:rFonts w:hint="eastAsia" w:ascii="Times New Roman" w:hAnsi="Times New Roman"/>
          <w:color w:val="auto"/>
        </w:rPr>
        <w:t>第</w:t>
      </w:r>
      <w:r>
        <w:rPr>
          <w:rFonts w:hint="eastAsia"/>
          <w:color w:val="auto"/>
          <w:lang w:val="en-US" w:eastAsia="zh-CN"/>
        </w:rPr>
        <w:t>31</w:t>
      </w:r>
      <w:r>
        <w:rPr>
          <w:rFonts w:hint="eastAsia" w:ascii="Times New Roman" w:hAnsi="Times New Roman"/>
          <w:color w:val="auto"/>
        </w:rPr>
        <w:t>条 支持老年人参与社会建设</w:t>
      </w:r>
    </w:p>
    <w:p>
      <w:pPr>
        <w:spacing w:line="560" w:lineRule="exact"/>
        <w:ind w:firstLine="451" w:firstLineChars="150"/>
        <w:rPr>
          <w:color w:val="auto"/>
        </w:rPr>
      </w:pPr>
      <w:r>
        <w:rPr>
          <w:rFonts w:hint="eastAsia"/>
          <w:b/>
          <w:bCs/>
          <w:color w:val="auto"/>
        </w:rPr>
        <w:t xml:space="preserve"> </w:t>
      </w:r>
      <w:r>
        <w:rPr>
          <w:b/>
          <w:bCs/>
          <w:color w:val="auto"/>
        </w:rPr>
        <w:t>鼓励老年人</w:t>
      </w:r>
      <w:r>
        <w:rPr>
          <w:rFonts w:hint="eastAsia"/>
          <w:b/>
          <w:bCs/>
          <w:color w:val="auto"/>
        </w:rPr>
        <w:t>积极</w:t>
      </w:r>
      <w:r>
        <w:rPr>
          <w:b/>
          <w:bCs/>
          <w:color w:val="auto"/>
        </w:rPr>
        <w:t>参与社会</w:t>
      </w:r>
      <w:r>
        <w:rPr>
          <w:rFonts w:hint="eastAsia"/>
          <w:b/>
          <w:bCs/>
          <w:color w:val="auto"/>
        </w:rPr>
        <w:t>治</w:t>
      </w:r>
      <w:r>
        <w:rPr>
          <w:b/>
          <w:bCs/>
          <w:color w:val="auto"/>
        </w:rPr>
        <w:t>理</w:t>
      </w:r>
      <w:r>
        <w:rPr>
          <w:rFonts w:hint="eastAsia"/>
          <w:b/>
          <w:bCs/>
          <w:color w:val="auto"/>
        </w:rPr>
        <w:t>。</w:t>
      </w:r>
      <w:r>
        <w:rPr>
          <w:rFonts w:hint="eastAsia"/>
          <w:color w:val="auto"/>
        </w:rPr>
        <w:t>充分挖掘老年人自身潜能和优势，鼓励老年群体参与经济社会实践，发挥老年人在化解社会矛盾、维护社会稳定、发展社会公益中的经验优势和威望优势，继续作出贡献并实现个人价值。建立街道老龄工作评价机制，完善公众参与科学决策、民主监督的</w:t>
      </w:r>
      <w:r>
        <w:rPr>
          <w:rFonts w:hint="eastAsia"/>
          <w:color w:val="auto"/>
          <w:lang w:eastAsia="zh-CN"/>
        </w:rPr>
        <w:t>工作</w:t>
      </w:r>
      <w:r>
        <w:rPr>
          <w:rFonts w:hint="eastAsia"/>
          <w:color w:val="auto"/>
        </w:rPr>
        <w:t>机制，保证老人和家庭对辖区为老工作重大决策、养老工作绩效评价的参与，实现精治、共治、法治，夯实社会长治久安的基础。鼓励老年人自发自愿组建学习类、艺术类、职业交流类、行业协会、志愿服务团队、社会组织等社会团体。指导帮助老年人群众性组织开展有益身心健康的活动。发挥老年协会在促进社会发展、调解涉老纠纷、活跃老年人精神文化生活等方面的积极作用。</w:t>
      </w:r>
    </w:p>
    <w:p>
      <w:pPr>
        <w:pStyle w:val="4"/>
        <w:spacing w:before="205" w:after="205" w:line="560" w:lineRule="exact"/>
        <w:rPr>
          <w:rFonts w:ascii="Times New Roman" w:hAnsi="Times New Roman"/>
          <w:color w:val="auto"/>
        </w:rPr>
      </w:pPr>
      <w:r>
        <w:rPr>
          <w:rFonts w:hint="eastAsia" w:ascii="Times New Roman" w:hAnsi="Times New Roman"/>
          <w:color w:val="auto"/>
        </w:rPr>
        <w:t>第</w:t>
      </w:r>
      <w:r>
        <w:rPr>
          <w:rFonts w:hint="eastAsia"/>
          <w:color w:val="auto"/>
          <w:lang w:val="en-US" w:eastAsia="zh-CN"/>
        </w:rPr>
        <w:t>32</w:t>
      </w:r>
      <w:r>
        <w:rPr>
          <w:rFonts w:hint="eastAsia" w:ascii="Times New Roman" w:hAnsi="Times New Roman"/>
          <w:color w:val="auto"/>
        </w:rPr>
        <w:t>条 大力发展志愿服务</w:t>
      </w:r>
    </w:p>
    <w:p>
      <w:pPr>
        <w:spacing w:line="560" w:lineRule="exact"/>
        <w:ind w:firstLine="602"/>
        <w:rPr>
          <w:color w:val="auto"/>
        </w:rPr>
      </w:pPr>
      <w:r>
        <w:rPr>
          <w:rFonts w:hint="eastAsia"/>
          <w:b/>
          <w:bCs/>
          <w:color w:val="auto"/>
        </w:rPr>
        <w:t>推进志愿服务工作发展。</w:t>
      </w:r>
      <w:r>
        <w:rPr>
          <w:rFonts w:hint="eastAsia"/>
          <w:b w:val="0"/>
          <w:bCs w:val="0"/>
          <w:color w:val="auto"/>
          <w:lang w:eastAsia="zh-CN"/>
        </w:rPr>
        <w:t>实施</w:t>
      </w:r>
      <w:r>
        <w:rPr>
          <w:rFonts w:hint="eastAsia"/>
          <w:color w:val="auto"/>
        </w:rPr>
        <w:t>《北京市志愿服务条例》，广泛发展睦邻互助养老服务，发挥各类志愿服务组织的积极作用，引导社会各界开展多种形式的助老惠老志愿服务活动。制定养老服务时间银行政策，构建养老志愿服务时间储蓄体系。支持引导志愿服务组织依托“志愿北京”等志愿服务信息系统，发布养老志愿服务项目，招募志愿者开展养老志愿服务，动员引导更多社会力量以志愿服务形式参与养老服务。推动引导养老服务机构根据需要设置相对稳定的志愿服务岗位，主动招募接纳志愿者开展常态化、专业化养老志愿服务。鼓励低龄老年人到养老服务机构或者社区，积极参与帮扶高龄老年人的志愿服务。</w:t>
      </w:r>
    </w:p>
    <w:p>
      <w:pPr>
        <w:pStyle w:val="2"/>
        <w:spacing w:after="411" w:line="560" w:lineRule="exact"/>
        <w:jc w:val="both"/>
        <w:rPr>
          <w:rFonts w:ascii="仿宋_GB2312" w:hAnsi="仿宋_GB2312" w:eastAsia="仿宋_GB2312" w:cs="仿宋_GB2312"/>
          <w:b w:val="0"/>
          <w:bCs w:val="0"/>
          <w:color w:val="auto"/>
          <w:sz w:val="30"/>
          <w:szCs w:val="30"/>
        </w:rPr>
      </w:pPr>
    </w:p>
    <w:p>
      <w:pPr>
        <w:spacing w:line="560" w:lineRule="exact"/>
        <w:ind w:firstLine="600"/>
        <w:rPr>
          <w:color w:val="auto"/>
        </w:rPr>
      </w:pPr>
    </w:p>
    <w:p>
      <w:pPr>
        <w:pStyle w:val="2"/>
        <w:spacing w:after="411" w:line="560" w:lineRule="exact"/>
        <w:jc w:val="left"/>
        <w:rPr>
          <w:color w:val="auto"/>
        </w:rPr>
      </w:pPr>
      <w:bookmarkStart w:id="183" w:name="_Toc30265"/>
      <w:bookmarkStart w:id="184" w:name="_Toc20396"/>
    </w:p>
    <w:p>
      <w:pPr>
        <w:spacing w:line="560" w:lineRule="exact"/>
        <w:ind w:firstLine="600"/>
        <w:rPr>
          <w:color w:val="auto"/>
        </w:rPr>
      </w:pPr>
    </w:p>
    <w:p>
      <w:pPr>
        <w:spacing w:line="560" w:lineRule="exact"/>
        <w:ind w:left="0" w:leftChars="0" w:firstLine="0" w:firstLineChars="0"/>
        <w:rPr>
          <w:color w:val="auto"/>
        </w:rPr>
      </w:pPr>
    </w:p>
    <w:p>
      <w:pPr>
        <w:pStyle w:val="2"/>
        <w:spacing w:after="411" w:line="560" w:lineRule="exact"/>
        <w:rPr>
          <w:color w:val="auto"/>
        </w:rPr>
      </w:pPr>
      <w:bookmarkStart w:id="185" w:name="_Toc129176410"/>
      <w:r>
        <w:rPr>
          <w:color w:val="auto"/>
        </w:rPr>
        <w:t>第</w:t>
      </w:r>
      <w:r>
        <w:rPr>
          <w:rFonts w:hint="eastAsia"/>
          <w:color w:val="auto"/>
        </w:rPr>
        <w:t>三</w:t>
      </w:r>
      <w:r>
        <w:rPr>
          <w:color w:val="auto"/>
        </w:rPr>
        <w:t>章</w:t>
      </w:r>
      <w:r>
        <w:rPr>
          <w:rFonts w:hint="eastAsia"/>
          <w:color w:val="auto"/>
        </w:rPr>
        <w:t xml:space="preserve"> 完善就近精准养老服务体系</w:t>
      </w:r>
      <w:bookmarkEnd w:id="150"/>
      <w:bookmarkEnd w:id="151"/>
      <w:bookmarkEnd w:id="152"/>
      <w:bookmarkEnd w:id="153"/>
      <w:bookmarkEnd w:id="154"/>
      <w:bookmarkEnd w:id="155"/>
      <w:bookmarkEnd w:id="183"/>
      <w:bookmarkEnd w:id="184"/>
      <w:bookmarkEnd w:id="185"/>
    </w:p>
    <w:p>
      <w:pPr>
        <w:spacing w:line="560" w:lineRule="exact"/>
        <w:ind w:firstLine="600"/>
        <w:rPr>
          <w:color w:val="auto"/>
        </w:rPr>
      </w:pPr>
      <w:r>
        <w:rPr>
          <w:rFonts w:hint="eastAsia"/>
          <w:color w:val="auto"/>
        </w:rPr>
        <w:t>深化养老服务综合改革，</w:t>
      </w:r>
      <w:r>
        <w:rPr>
          <w:color w:val="auto"/>
        </w:rPr>
        <w:t>积极应对人口老龄化进程，以老年人群</w:t>
      </w:r>
      <w:r>
        <w:rPr>
          <w:rFonts w:hint="eastAsia"/>
          <w:color w:val="auto"/>
        </w:rPr>
        <w:t>体</w:t>
      </w:r>
      <w:r>
        <w:rPr>
          <w:color w:val="auto"/>
        </w:rPr>
        <w:t>实际需求为导向，</w:t>
      </w:r>
      <w:r>
        <w:rPr>
          <w:rFonts w:hint="eastAsia"/>
          <w:color w:val="auto"/>
        </w:rPr>
        <w:t>突出养老服务公益性，在做好“保基本、兜底线”的基础上，进一步明确</w:t>
      </w:r>
      <w:r>
        <w:rPr>
          <w:rFonts w:hint="eastAsia"/>
          <w:color w:val="auto"/>
          <w:lang w:eastAsia="zh-CN"/>
        </w:rPr>
        <w:t>家庭、</w:t>
      </w:r>
      <w:r>
        <w:rPr>
          <w:rFonts w:hint="eastAsia"/>
          <w:color w:val="auto"/>
        </w:rPr>
        <w:t>社会、</w:t>
      </w:r>
      <w:r>
        <w:rPr>
          <w:rFonts w:hint="eastAsia"/>
          <w:color w:val="auto"/>
          <w:lang w:eastAsia="zh-CN"/>
        </w:rPr>
        <w:t>市场、政府</w:t>
      </w:r>
      <w:r>
        <w:rPr>
          <w:rFonts w:hint="eastAsia"/>
          <w:color w:val="auto"/>
        </w:rPr>
        <w:t>在养老服务中的角色定位及责任边界。</w:t>
      </w:r>
      <w:r>
        <w:rPr>
          <w:color w:val="auto"/>
        </w:rPr>
        <w:t>增强养老服务有效供给，推动养老服务高质量发展，</w:t>
      </w:r>
      <w:r>
        <w:rPr>
          <w:rFonts w:hint="eastAsia"/>
          <w:color w:val="auto"/>
        </w:rPr>
        <w:t>提供覆盖老年人全生命周期的服务资源。充分考虑功能疏解、减量发展，</w:t>
      </w:r>
      <w:r>
        <w:rPr>
          <w:color w:val="auto"/>
        </w:rPr>
        <w:t>到202</w:t>
      </w:r>
      <w:r>
        <w:rPr>
          <w:rFonts w:hint="eastAsia"/>
          <w:color w:val="auto"/>
        </w:rPr>
        <w:t>5</w:t>
      </w:r>
      <w:r>
        <w:rPr>
          <w:color w:val="auto"/>
        </w:rPr>
        <w:t>年，规模适度、覆盖城乡的“三边四级”</w:t>
      </w:r>
      <w:r>
        <w:rPr>
          <w:rFonts w:hint="eastAsia"/>
          <w:color w:val="auto"/>
        </w:rPr>
        <w:t>精准居家</w:t>
      </w:r>
      <w:r>
        <w:rPr>
          <w:color w:val="auto"/>
        </w:rPr>
        <w:t>养老服务体系基本形成。到20</w:t>
      </w:r>
      <w:r>
        <w:rPr>
          <w:rFonts w:hint="eastAsia"/>
          <w:color w:val="auto"/>
        </w:rPr>
        <w:t>35</w:t>
      </w:r>
      <w:r>
        <w:rPr>
          <w:color w:val="auto"/>
        </w:rPr>
        <w:t>年</w:t>
      </w:r>
      <w:r>
        <w:rPr>
          <w:rFonts w:hint="eastAsia"/>
          <w:color w:val="auto"/>
        </w:rPr>
        <w:t>，</w:t>
      </w:r>
      <w:r>
        <w:rPr>
          <w:color w:val="auto"/>
        </w:rPr>
        <w:t>机构养老服务更加专业并有效延伸，社区嵌入式</w:t>
      </w:r>
      <w:r>
        <w:rPr>
          <w:rFonts w:hint="eastAsia"/>
          <w:color w:val="auto"/>
        </w:rPr>
        <w:t>机构养</w:t>
      </w:r>
      <w:r>
        <w:rPr>
          <w:color w:val="auto"/>
        </w:rPr>
        <w:t>老服务方便可及，</w:t>
      </w:r>
      <w:r>
        <w:rPr>
          <w:rFonts w:hint="eastAsia"/>
          <w:color w:val="auto"/>
        </w:rPr>
        <w:t>居家养老接受专业化</w:t>
      </w:r>
      <w:r>
        <w:rPr>
          <w:color w:val="auto"/>
        </w:rPr>
        <w:t>照料</w:t>
      </w:r>
      <w:r>
        <w:rPr>
          <w:rFonts w:hint="eastAsia"/>
          <w:color w:val="auto"/>
        </w:rPr>
        <w:t>服务水平</w:t>
      </w:r>
      <w:r>
        <w:rPr>
          <w:color w:val="auto"/>
        </w:rPr>
        <w:t>明显提</w:t>
      </w:r>
      <w:r>
        <w:rPr>
          <w:rFonts w:hint="eastAsia"/>
          <w:color w:val="auto"/>
        </w:rPr>
        <w:t>高，</w:t>
      </w:r>
      <w:r>
        <w:rPr>
          <w:color w:val="auto"/>
        </w:rPr>
        <w:t>养老服务保障更加精准</w:t>
      </w:r>
      <w:r>
        <w:rPr>
          <w:rFonts w:hint="eastAsia"/>
          <w:color w:val="auto"/>
        </w:rPr>
        <w:t>，</w:t>
      </w:r>
      <w:r>
        <w:rPr>
          <w:color w:val="auto"/>
        </w:rPr>
        <w:t>设施布局更加合理</w:t>
      </w:r>
      <w:r>
        <w:rPr>
          <w:rFonts w:hint="eastAsia"/>
          <w:color w:val="auto"/>
        </w:rPr>
        <w:t>，</w:t>
      </w:r>
      <w:r>
        <w:rPr>
          <w:color w:val="auto"/>
        </w:rPr>
        <w:t>服务供给更加多元，养老服务质量明显提升。</w:t>
      </w:r>
    </w:p>
    <w:p>
      <w:pPr>
        <w:pStyle w:val="3"/>
        <w:spacing w:before="205" w:after="205" w:line="560" w:lineRule="exact"/>
        <w:rPr>
          <w:color w:val="auto"/>
        </w:rPr>
      </w:pPr>
      <w:bookmarkStart w:id="186" w:name="_Toc2268"/>
      <w:bookmarkStart w:id="187" w:name="_Toc72"/>
      <w:bookmarkStart w:id="188" w:name="_Toc11639"/>
      <w:bookmarkStart w:id="189" w:name="_Toc12720"/>
      <w:bookmarkStart w:id="190" w:name="_Toc1291882000"/>
      <w:bookmarkStart w:id="191" w:name="_Toc21458"/>
      <w:r>
        <w:rPr>
          <w:rFonts w:hint="eastAsia"/>
          <w:color w:val="auto"/>
        </w:rPr>
        <w:t>第一节 明确四方责任</w:t>
      </w:r>
      <w:bookmarkEnd w:id="186"/>
      <w:bookmarkEnd w:id="187"/>
      <w:bookmarkEnd w:id="188"/>
      <w:bookmarkEnd w:id="189"/>
      <w:bookmarkEnd w:id="190"/>
      <w:bookmarkEnd w:id="191"/>
    </w:p>
    <w:p>
      <w:pPr>
        <w:pStyle w:val="4"/>
        <w:spacing w:before="205" w:after="205" w:line="560" w:lineRule="exact"/>
        <w:rPr>
          <w:b w:val="0"/>
          <w:bCs w:val="0"/>
          <w:color w:val="auto"/>
        </w:rPr>
      </w:pPr>
      <w:bookmarkStart w:id="192" w:name="_Toc2732_WPSOffice_Level2"/>
      <w:bookmarkStart w:id="193" w:name="_Toc5538_WPSOffice_Level2"/>
      <w:bookmarkStart w:id="194" w:name="_Toc24340_WPSOffice_Level2"/>
      <w:bookmarkStart w:id="195" w:name="_Toc19007_WPSOffice_Level2"/>
      <w:bookmarkStart w:id="196" w:name="_Toc32345_WPSOffice_Level2"/>
      <w:bookmarkStart w:id="197" w:name="_Toc24296_WPSOffice_Level2"/>
      <w:bookmarkStart w:id="198" w:name="_Toc3122_WPSOffice_Level2"/>
      <w:r>
        <w:rPr>
          <w:color w:val="auto"/>
        </w:rPr>
        <w:t>第</w:t>
      </w:r>
      <w:r>
        <w:rPr>
          <w:rFonts w:hint="eastAsia"/>
          <w:color w:val="auto"/>
          <w:lang w:val="en-US" w:eastAsia="zh-CN"/>
        </w:rPr>
        <w:t>3</w:t>
      </w:r>
      <w:r>
        <w:rPr>
          <w:rFonts w:hint="eastAsia"/>
          <w:color w:val="auto"/>
        </w:rPr>
        <w:t>3</w:t>
      </w:r>
      <w:r>
        <w:rPr>
          <w:color w:val="auto"/>
        </w:rPr>
        <w:t>条</w:t>
      </w:r>
      <w:r>
        <w:rPr>
          <w:rFonts w:hint="eastAsia"/>
          <w:color w:val="auto"/>
        </w:rPr>
        <w:t xml:space="preserve"> 家庭是养老服务体系中的基础和立足点</w:t>
      </w:r>
    </w:p>
    <w:p>
      <w:pPr>
        <w:spacing w:line="560" w:lineRule="exact"/>
        <w:ind w:firstLine="600"/>
        <w:rPr>
          <w:rFonts w:cs="Times New Roman"/>
          <w:color w:val="auto"/>
        </w:rPr>
      </w:pPr>
      <w:r>
        <w:rPr>
          <w:rFonts w:hint="eastAsia" w:cs="Times New Roman"/>
          <w:color w:val="auto"/>
        </w:rPr>
        <w:t>家庭是社会的基本组成单位，是不可或缺的重要力量。鼓励成年子女与老年父母就近居住或共同生活，履行赡养义务、承担照料责任。家庭的主要责任体现在经济来源的支持、日常照顾和精神慰藉方面。老年人不仅是养老服务的接受者，也是养老服务重要的提供者，鼓励老年人自愿开展多种形式的互助式养老。</w:t>
      </w:r>
    </w:p>
    <w:p>
      <w:pPr>
        <w:pStyle w:val="4"/>
        <w:spacing w:before="205" w:after="205" w:line="560" w:lineRule="exact"/>
        <w:ind w:left="1285" w:hanging="1285" w:hangingChars="400"/>
        <w:rPr>
          <w:b w:val="0"/>
          <w:bCs w:val="0"/>
          <w:color w:val="auto"/>
        </w:rPr>
      </w:pPr>
      <w:r>
        <w:rPr>
          <w:rFonts w:hint="eastAsia"/>
          <w:color w:val="auto"/>
        </w:rPr>
        <w:t>第</w:t>
      </w:r>
      <w:r>
        <w:rPr>
          <w:rFonts w:hint="eastAsia"/>
          <w:color w:val="auto"/>
          <w:lang w:val="en-US" w:eastAsia="zh-CN"/>
        </w:rPr>
        <w:t>3</w:t>
      </w:r>
      <w:r>
        <w:rPr>
          <w:rFonts w:hint="eastAsia"/>
          <w:color w:val="auto"/>
        </w:rPr>
        <w:t>4条 社会在养老服务体系中是重要的参与者，与政府和市场一起参与并解决公共养老服务问题</w:t>
      </w:r>
    </w:p>
    <w:p>
      <w:pPr>
        <w:pStyle w:val="4"/>
        <w:spacing w:before="205" w:after="205" w:line="560" w:lineRule="exact"/>
        <w:rPr>
          <w:rFonts w:hint="eastAsia" w:ascii="仿宋" w:hAnsi="仿宋" w:eastAsia="仿宋" w:cs="Times New Roman"/>
          <w:b w:val="0"/>
          <w:bCs w:val="0"/>
          <w:color w:val="auto"/>
          <w:kern w:val="2"/>
          <w:sz w:val="30"/>
          <w:szCs w:val="24"/>
          <w:lang w:val="en-US" w:eastAsia="zh-CN" w:bidi="ar-SA"/>
        </w:rPr>
      </w:pPr>
      <w:r>
        <w:rPr>
          <w:rFonts w:hint="eastAsia" w:cs="黑体"/>
          <w:b w:val="0"/>
          <w:bCs w:val="0"/>
          <w:color w:val="auto"/>
          <w:kern w:val="2"/>
          <w:sz w:val="30"/>
          <w:szCs w:val="24"/>
          <w:lang w:val="en-US" w:eastAsia="zh-CN" w:bidi="ar-SA"/>
        </w:rPr>
        <w:t xml:space="preserve">   </w:t>
      </w:r>
      <w:r>
        <w:rPr>
          <w:rFonts w:hint="eastAsia" w:ascii="仿宋" w:hAnsi="仿宋" w:eastAsia="仿宋" w:cs="Times New Roman"/>
          <w:b w:val="0"/>
          <w:bCs w:val="0"/>
          <w:color w:val="auto"/>
          <w:kern w:val="2"/>
          <w:sz w:val="30"/>
          <w:szCs w:val="24"/>
          <w:lang w:val="en-US" w:eastAsia="zh-CN" w:bidi="ar-SA"/>
        </w:rPr>
        <w:t xml:space="preserve"> 社会与政府和市场是一种平等合作的关系，利用社会组织灵活性，为老年人提供专业、精准的养老服务，充分发挥其在养老服务中不可或缺的作用。到2025年以社区为平台、社会组织为载体、社会工作者为支撑的“三社联动”机制基本实现全覆盖。政府在养老服务体系承担“保基本”“兜底线”的职责。</w:t>
      </w:r>
    </w:p>
    <w:p>
      <w:pPr>
        <w:pStyle w:val="4"/>
        <w:spacing w:before="205" w:after="205" w:line="560" w:lineRule="exact"/>
        <w:rPr>
          <w:b w:val="0"/>
          <w:bCs w:val="0"/>
          <w:color w:val="auto"/>
        </w:rPr>
      </w:pPr>
      <w:r>
        <w:rPr>
          <w:rFonts w:hint="eastAsia"/>
          <w:color w:val="auto"/>
        </w:rPr>
        <w:t>第</w:t>
      </w:r>
      <w:r>
        <w:rPr>
          <w:rFonts w:hint="eastAsia"/>
          <w:color w:val="auto"/>
          <w:lang w:val="en-US" w:eastAsia="zh-CN"/>
        </w:rPr>
        <w:t>3</w:t>
      </w:r>
      <w:r>
        <w:rPr>
          <w:rFonts w:hint="eastAsia"/>
          <w:color w:val="auto"/>
        </w:rPr>
        <w:t>5条 市场在养老服务体系中提供养老服务及产品，满足老年人多样化、个性化的养老服务需求</w:t>
      </w:r>
    </w:p>
    <w:p>
      <w:pPr>
        <w:spacing w:line="560" w:lineRule="exact"/>
        <w:ind w:firstLine="600"/>
        <w:rPr>
          <w:rFonts w:hint="eastAsia" w:cs="Times New Roman"/>
          <w:color w:val="auto"/>
        </w:rPr>
      </w:pPr>
      <w:r>
        <w:rPr>
          <w:rFonts w:hint="eastAsia" w:cs="Times New Roman"/>
          <w:color w:val="auto"/>
        </w:rPr>
        <w:t>全面放开养老服务市场，支持境内外资本投资举办养老服务机构，落实同等优惠政策。允许养老服务机构依法依规设立多个服务网点，支持连锁化、综合化、品牌化运营模式。</w:t>
      </w:r>
      <w:bookmarkStart w:id="199" w:name="_Hlk27043134"/>
      <w:r>
        <w:rPr>
          <w:rFonts w:hint="eastAsia" w:cs="Times New Roman"/>
          <w:color w:val="auto"/>
        </w:rPr>
        <w:t>将政府购买养老服务制度与老年人能力评估及养老服务质量评估等紧密结合，采用政府购买、服务外包、特许经营、政策优惠等方式，鼓励、支持和引导社会力量提供基本养老服务。</w:t>
      </w:r>
    </w:p>
    <w:p>
      <w:pPr>
        <w:spacing w:line="560" w:lineRule="exact"/>
        <w:ind w:firstLine="600"/>
        <w:rPr>
          <w:rFonts w:hint="eastAsia" w:cs="Times New Roman"/>
          <w:color w:val="auto"/>
        </w:rPr>
      </w:pPr>
    </w:p>
    <w:bookmarkEnd w:id="199"/>
    <w:p>
      <w:pPr>
        <w:numPr>
          <w:numId w:val="0"/>
        </w:numPr>
        <w:spacing w:line="560" w:lineRule="exact"/>
        <w:ind w:leftChars="0"/>
        <w:rPr>
          <w:rFonts w:hint="eastAsia" w:ascii="仿宋" w:hAnsi="仿宋" w:eastAsia="仿宋" w:cs="黑体"/>
          <w:b/>
          <w:bCs/>
          <w:color w:val="auto"/>
          <w:kern w:val="2"/>
          <w:sz w:val="32"/>
          <w:szCs w:val="32"/>
          <w:lang w:val="en-US" w:eastAsia="zh-CN" w:bidi="ar-SA"/>
        </w:rPr>
      </w:pPr>
      <w:r>
        <w:rPr>
          <w:rFonts w:hint="eastAsia" w:ascii="仿宋" w:hAnsi="仿宋" w:eastAsia="仿宋" w:cs="黑体"/>
          <w:b/>
          <w:bCs/>
          <w:color w:val="auto"/>
          <w:kern w:val="2"/>
          <w:sz w:val="32"/>
          <w:szCs w:val="32"/>
          <w:lang w:val="en-US" w:eastAsia="zh-CN" w:bidi="ar-SA"/>
        </w:rPr>
        <w:t>第3</w:t>
      </w:r>
      <w:r>
        <w:rPr>
          <w:rFonts w:hint="eastAsia" w:cs="黑体"/>
          <w:b/>
          <w:bCs/>
          <w:color w:val="auto"/>
          <w:kern w:val="2"/>
          <w:sz w:val="32"/>
          <w:szCs w:val="32"/>
          <w:lang w:val="en-US" w:eastAsia="zh-CN" w:bidi="ar-SA"/>
        </w:rPr>
        <w:t>6</w:t>
      </w:r>
      <w:r>
        <w:rPr>
          <w:rFonts w:hint="eastAsia" w:ascii="仿宋" w:hAnsi="仿宋" w:eastAsia="仿宋" w:cs="黑体"/>
          <w:b/>
          <w:bCs/>
          <w:color w:val="auto"/>
          <w:kern w:val="2"/>
          <w:sz w:val="32"/>
          <w:szCs w:val="32"/>
          <w:lang w:val="en-US" w:eastAsia="zh-CN" w:bidi="ar-SA"/>
        </w:rPr>
        <w:t>条</w:t>
      </w:r>
      <w:r>
        <w:rPr>
          <w:rFonts w:hint="eastAsia" w:cs="黑体"/>
          <w:b/>
          <w:bCs/>
          <w:color w:val="auto"/>
          <w:kern w:val="2"/>
          <w:sz w:val="32"/>
          <w:szCs w:val="32"/>
          <w:lang w:val="en-US" w:eastAsia="zh-CN" w:bidi="ar-SA"/>
        </w:rPr>
        <w:t xml:space="preserve"> </w:t>
      </w:r>
      <w:r>
        <w:rPr>
          <w:rFonts w:hint="eastAsia" w:ascii="仿宋" w:hAnsi="仿宋" w:eastAsia="仿宋" w:cs="黑体"/>
          <w:b/>
          <w:bCs/>
          <w:color w:val="auto"/>
          <w:kern w:val="2"/>
          <w:sz w:val="32"/>
          <w:szCs w:val="32"/>
          <w:lang w:val="en-US" w:eastAsia="zh-CN" w:bidi="ar-SA"/>
        </w:rPr>
        <w:t>政府在养老服务体系中承担兜底线和保基本的职责</w:t>
      </w:r>
    </w:p>
    <w:p>
      <w:pPr>
        <w:spacing w:line="560" w:lineRule="exact"/>
        <w:ind w:left="0" w:leftChars="0" w:firstLine="0" w:firstLineChars="0"/>
        <w:rPr>
          <w:rFonts w:cs="Times New Roman"/>
          <w:color w:val="auto"/>
        </w:rPr>
      </w:pPr>
      <w:r>
        <w:rPr>
          <w:rFonts w:hint="eastAsia"/>
          <w:color w:val="auto"/>
          <w:lang w:val="en-US" w:eastAsia="zh-CN"/>
        </w:rPr>
        <w:t xml:space="preserve">    </w:t>
      </w:r>
      <w:r>
        <w:rPr>
          <w:rFonts w:hint="eastAsia"/>
          <w:color w:val="auto"/>
        </w:rPr>
        <w:t>明确政府责任，重点做好基本养老服务，构建人人享有的基本养老服务体系，精准实施老年人福利补贴，实现财政补贴全面覆盖本市户籍人口。承担兜底职责，完善老年人分类保障，将保障重点聚焦城乡特困、经济困难和失能、失智、高龄、重度残疾、计划生育特殊家庭老年人群体。突出养老服务公益性，扩大普惠养老服务供给，实现老年人就近养老服务需求可预期。</w:t>
      </w:r>
      <w:bookmarkStart w:id="200" w:name="_Hlk27213108"/>
      <w:r>
        <w:rPr>
          <w:rFonts w:hint="eastAsia"/>
          <w:color w:val="auto"/>
        </w:rPr>
        <w:t>保障特殊困难家庭老年人的养老服务，确定精准帮扶对象</w:t>
      </w:r>
      <w:bookmarkEnd w:id="200"/>
      <w:r>
        <w:rPr>
          <w:rFonts w:hint="eastAsia"/>
          <w:color w:val="auto"/>
        </w:rPr>
        <w:t>，依据北京市“精准帮扶”需求调查</w:t>
      </w:r>
      <w:r>
        <w:rPr>
          <w:color w:val="auto"/>
        </w:rPr>
        <w:t>建立居家社区探访制度，</w:t>
      </w:r>
      <w:r>
        <w:rPr>
          <w:rFonts w:hint="eastAsia"/>
          <w:color w:val="auto"/>
        </w:rPr>
        <w:t>确保困境老年人</w:t>
      </w:r>
      <w:r>
        <w:rPr>
          <w:rFonts w:hint="eastAsia"/>
          <w:color w:val="auto"/>
          <w:lang w:eastAsia="zh-CN"/>
        </w:rPr>
        <w:t>都</w:t>
      </w:r>
      <w:r>
        <w:rPr>
          <w:rFonts w:cs="Times New Roman"/>
          <w:color w:val="auto"/>
        </w:rPr>
        <w:t>能有效得到帮扶</w:t>
      </w:r>
      <w:r>
        <w:rPr>
          <w:rFonts w:hint="eastAsia" w:cs="Times New Roman"/>
          <w:color w:val="auto"/>
        </w:rPr>
        <w:t>，2025年困境</w:t>
      </w:r>
      <w:r>
        <w:rPr>
          <w:rFonts w:cs="Times New Roman"/>
          <w:color w:val="auto"/>
        </w:rPr>
        <w:t>老年人</w:t>
      </w:r>
      <w:r>
        <w:rPr>
          <w:rFonts w:hint="eastAsia" w:cs="Times New Roman"/>
          <w:color w:val="auto"/>
        </w:rPr>
        <w:t>帮扶率</w:t>
      </w:r>
      <w:r>
        <w:rPr>
          <w:rFonts w:cs="Times New Roman"/>
          <w:color w:val="auto"/>
        </w:rPr>
        <w:t>达到100%。</w:t>
      </w:r>
    </w:p>
    <w:p>
      <w:pPr>
        <w:pStyle w:val="3"/>
        <w:spacing w:before="205" w:after="205" w:line="560" w:lineRule="exact"/>
        <w:rPr>
          <w:color w:val="auto"/>
        </w:rPr>
      </w:pPr>
      <w:bookmarkStart w:id="201" w:name="_Toc20349"/>
      <w:bookmarkStart w:id="202" w:name="_Toc20089"/>
      <w:bookmarkStart w:id="203" w:name="_Toc26638"/>
      <w:bookmarkStart w:id="204" w:name="_Toc18986162"/>
      <w:bookmarkStart w:id="205" w:name="_Toc8804"/>
      <w:bookmarkStart w:id="206" w:name="_Toc13172"/>
      <w:bookmarkStart w:id="207" w:name="_Toc19117317"/>
      <w:r>
        <w:rPr>
          <w:rFonts w:hint="eastAsia"/>
          <w:color w:val="auto"/>
        </w:rPr>
        <w:t>第二节 明确四级功能</w:t>
      </w:r>
      <w:bookmarkEnd w:id="201"/>
      <w:bookmarkEnd w:id="202"/>
      <w:bookmarkEnd w:id="203"/>
      <w:bookmarkEnd w:id="204"/>
      <w:bookmarkEnd w:id="205"/>
      <w:bookmarkEnd w:id="206"/>
      <w:bookmarkEnd w:id="207"/>
    </w:p>
    <w:p>
      <w:pPr>
        <w:pStyle w:val="4"/>
        <w:spacing w:before="205" w:after="205" w:line="560" w:lineRule="exact"/>
        <w:rPr>
          <w:color w:val="auto"/>
        </w:rPr>
      </w:pPr>
      <w:bookmarkStart w:id="208" w:name="_Toc16214_WPSOffice_Level3"/>
      <w:bookmarkStart w:id="209" w:name="_Toc11838526"/>
      <w:bookmarkStart w:id="210" w:name="_Toc30597_WPSOffice_Level3"/>
      <w:bookmarkStart w:id="211" w:name="_Toc25258_WPSOffice_Level3"/>
      <w:bookmarkStart w:id="212" w:name="_Toc6890_WPSOffice_Level3"/>
      <w:bookmarkStart w:id="213" w:name="_Toc1839_WPSOffice_Level3"/>
      <w:bookmarkStart w:id="214" w:name="_Toc11839837"/>
      <w:bookmarkStart w:id="215" w:name="_Toc11286_WPSOffice_Level3"/>
      <w:bookmarkStart w:id="216" w:name="_Toc24172_WPSOffice_Level3"/>
      <w:bookmarkStart w:id="217" w:name="_Toc17217_WPSOffice_Level3"/>
      <w:bookmarkStart w:id="218" w:name="_Toc40_WPSOffice_Level3"/>
      <w:bookmarkStart w:id="219" w:name="_Toc1033_WPSOffice_Level3"/>
      <w:bookmarkStart w:id="220" w:name="_Toc10034_WPSOffice_Level3"/>
      <w:bookmarkStart w:id="221" w:name="_Toc21149_WPSOffice_Level3"/>
      <w:r>
        <w:rPr>
          <w:color w:val="auto"/>
        </w:rPr>
        <w:t>第</w:t>
      </w:r>
      <w:r>
        <w:rPr>
          <w:rFonts w:hint="eastAsia"/>
          <w:color w:val="auto"/>
          <w:lang w:val="en-US" w:eastAsia="zh-CN"/>
        </w:rPr>
        <w:t>3</w:t>
      </w:r>
      <w:r>
        <w:rPr>
          <w:rFonts w:hint="eastAsia"/>
          <w:color w:val="auto"/>
        </w:rPr>
        <w:t>7</w:t>
      </w:r>
      <w:r>
        <w:rPr>
          <w:color w:val="auto"/>
        </w:rPr>
        <w:t>条</w:t>
      </w:r>
      <w:r>
        <w:rPr>
          <w:rFonts w:hint="eastAsia"/>
          <w:color w:val="auto"/>
        </w:rPr>
        <w:t xml:space="preserve"> </w:t>
      </w:r>
      <w:r>
        <w:rPr>
          <w:color w:val="auto"/>
        </w:rPr>
        <w:t>市属</w:t>
      </w:r>
      <w:r>
        <w:rPr>
          <w:rFonts w:hint="eastAsia"/>
          <w:color w:val="auto"/>
        </w:rPr>
        <w:t>养老</w:t>
      </w:r>
      <w:r>
        <w:rPr>
          <w:color w:val="auto"/>
        </w:rPr>
        <w:t>机构</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pPr>
        <w:spacing w:line="560" w:lineRule="exact"/>
        <w:ind w:firstLine="602"/>
        <w:rPr>
          <w:rFonts w:cs="Times New Roman"/>
          <w:color w:val="auto"/>
        </w:rPr>
      </w:pPr>
      <w:bookmarkStart w:id="222" w:name="_Hlk16616034"/>
      <w:r>
        <w:rPr>
          <w:rFonts w:hint="eastAsia" w:cs="Times New Roman"/>
          <w:b/>
          <w:bCs/>
          <w:color w:val="auto"/>
        </w:rPr>
        <w:t>完善特殊困难老年人的兜底保障。</w:t>
      </w:r>
      <w:bookmarkEnd w:id="222"/>
      <w:r>
        <w:rPr>
          <w:rFonts w:hint="eastAsia" w:cs="Times New Roman"/>
          <w:color w:val="auto"/>
        </w:rPr>
        <w:t>市属养老机构发挥托底作用，为基本养老服务对象提供托养服务，重点做好失能、失智等特殊老年人群体的托养服务。基本养老服务收费按照保障对象分类收费原则，非基本养老服务收费项目实行市场调节价格管理。</w:t>
      </w:r>
    </w:p>
    <w:p>
      <w:pPr>
        <w:spacing w:line="560" w:lineRule="exact"/>
        <w:ind w:firstLine="602"/>
        <w:rPr>
          <w:rFonts w:cs="Times New Roman"/>
          <w:color w:val="auto"/>
        </w:rPr>
      </w:pPr>
      <w:r>
        <w:rPr>
          <w:rFonts w:hint="eastAsia" w:cs="Times New Roman"/>
          <w:b/>
          <w:bCs/>
          <w:color w:val="auto"/>
        </w:rPr>
        <w:t>发挥市属福利机构示范引领作用。</w:t>
      </w:r>
      <w:r>
        <w:rPr>
          <w:rFonts w:cs="Times New Roman"/>
          <w:color w:val="auto"/>
        </w:rPr>
        <w:t>加强市属养老机构的设施建设</w:t>
      </w:r>
      <w:r>
        <w:rPr>
          <w:rFonts w:hint="eastAsia" w:cs="Times New Roman"/>
          <w:color w:val="auto"/>
        </w:rPr>
        <w:t>，</w:t>
      </w:r>
      <w:r>
        <w:rPr>
          <w:rFonts w:cs="Times New Roman"/>
          <w:color w:val="auto"/>
        </w:rPr>
        <w:t>优化职能定位，重在提升专业照护能力，发挥市属养老机构创新服务示范、业务统筹指导</w:t>
      </w:r>
      <w:r>
        <w:rPr>
          <w:rFonts w:hint="eastAsia" w:cs="Times New Roman"/>
          <w:color w:val="auto"/>
        </w:rPr>
        <w:t>和</w:t>
      </w:r>
      <w:r>
        <w:rPr>
          <w:rFonts w:cs="Times New Roman"/>
          <w:color w:val="auto"/>
        </w:rPr>
        <w:t>兜底服务保障作用。</w:t>
      </w:r>
      <w:r>
        <w:rPr>
          <w:rFonts w:hint="eastAsia" w:cs="Times New Roman"/>
          <w:color w:val="auto"/>
        </w:rPr>
        <w:t>整合提升现有市属福利机构服务质量和示范功能，履行公益性保障职能，发挥面向社会示范培训、调控养老服务市场、化解民办养老机构因暂停或终止服务导致的老年人安置风险等功能。</w:t>
      </w:r>
    </w:p>
    <w:p>
      <w:pPr>
        <w:spacing w:line="560" w:lineRule="exact"/>
        <w:ind w:firstLine="602"/>
        <w:rPr>
          <w:rFonts w:cs="Times New Roman"/>
          <w:color w:val="auto"/>
        </w:rPr>
      </w:pPr>
      <w:r>
        <w:rPr>
          <w:rFonts w:hint="eastAsia" w:cs="Times New Roman"/>
          <w:b/>
          <w:bCs/>
          <w:color w:val="auto"/>
        </w:rPr>
        <w:t>发挥市属社会福利机构在区域中的专业补缺作用。</w:t>
      </w:r>
      <w:r>
        <w:rPr>
          <w:rFonts w:hint="eastAsia" w:cs="Times New Roman"/>
          <w:color w:val="auto"/>
        </w:rPr>
        <w:t>加强对传染病、精神疾病、自闭症患者、残疾人（如盲人）等少量刚需困难老年人群的特殊服务。针对老龄与重度残疾混合的家庭、计划生育特殊困难家庭，探索专项特定群体的长期照护服务机构。以市第三福利院为统领，在五环外布</w:t>
      </w:r>
      <w:r>
        <w:rPr>
          <w:rFonts w:cs="Times New Roman"/>
          <w:color w:val="auto"/>
        </w:rPr>
        <w:t>专业化的护理需求。</w:t>
      </w:r>
    </w:p>
    <w:p>
      <w:pPr>
        <w:spacing w:line="560" w:lineRule="exact"/>
        <w:ind w:firstLine="602"/>
        <w:rPr>
          <w:rFonts w:cs="Times New Roman"/>
          <w:color w:val="auto"/>
        </w:rPr>
      </w:pPr>
      <w:r>
        <w:rPr>
          <w:rFonts w:hint="eastAsia" w:cs="Times New Roman"/>
          <w:color w:val="auto"/>
        </w:rPr>
        <w:t>局精神卫生社会福利院。通过现有机构养老服务设施功能转化或选址新建等方式，</w:t>
      </w:r>
      <w:r>
        <w:rPr>
          <w:rFonts w:cs="Times New Roman"/>
          <w:color w:val="auto"/>
        </w:rPr>
        <w:t>满足传染病、脊椎损伤等人群针对性、</w:t>
      </w:r>
    </w:p>
    <w:p>
      <w:pPr>
        <w:pStyle w:val="4"/>
        <w:spacing w:before="205" w:after="205" w:line="560" w:lineRule="exact"/>
        <w:rPr>
          <w:color w:val="auto"/>
        </w:rPr>
      </w:pPr>
      <w:bookmarkStart w:id="223" w:name="_Toc3766_WPSOffice_Level3"/>
      <w:bookmarkStart w:id="224" w:name="_Toc155_WPSOffice_Level3"/>
      <w:bookmarkStart w:id="225" w:name="_Toc29967_WPSOffice_Level3"/>
      <w:bookmarkStart w:id="226" w:name="_Toc9843_WPSOffice_Level3"/>
      <w:bookmarkStart w:id="227" w:name="_Toc20211_WPSOffice_Level3"/>
      <w:bookmarkStart w:id="228" w:name="_Toc14045_WPSOffice_Level3"/>
      <w:bookmarkStart w:id="229" w:name="_Toc10310_WPSOffice_Level3"/>
      <w:bookmarkStart w:id="230" w:name="_Toc28161_WPSOffice_Level3"/>
      <w:bookmarkStart w:id="231" w:name="_Toc6189_WPSOffice_Level3"/>
      <w:bookmarkStart w:id="232" w:name="_Toc28838_WPSOffice_Level3"/>
      <w:bookmarkStart w:id="233" w:name="_Toc8795_WPSOffice_Level3"/>
      <w:bookmarkStart w:id="234" w:name="_Toc29602_WPSOffice_Level3"/>
      <w:bookmarkStart w:id="235" w:name="_Toc11838527"/>
      <w:bookmarkStart w:id="236" w:name="_Toc11839838"/>
      <w:r>
        <w:rPr>
          <w:color w:val="auto"/>
        </w:rPr>
        <w:t>第</w:t>
      </w:r>
      <w:r>
        <w:rPr>
          <w:rFonts w:hint="eastAsia"/>
          <w:color w:val="auto"/>
          <w:lang w:val="en-US" w:eastAsia="zh-CN"/>
        </w:rPr>
        <w:t>38</w:t>
      </w:r>
      <w:r>
        <w:rPr>
          <w:color w:val="auto"/>
        </w:rPr>
        <w:t>条</w:t>
      </w:r>
      <w:r>
        <w:rPr>
          <w:rFonts w:hint="eastAsia"/>
          <w:color w:val="auto"/>
        </w:rPr>
        <w:t xml:space="preserve"> </w:t>
      </w:r>
      <w:r>
        <w:rPr>
          <w:color w:val="auto"/>
        </w:rPr>
        <w:t>区属</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Pr>
          <w:rFonts w:hint="eastAsia"/>
          <w:color w:val="auto"/>
        </w:rPr>
        <w:t>福利机构</w:t>
      </w:r>
      <w:bookmarkStart w:id="754" w:name="_GoBack"/>
      <w:bookmarkEnd w:id="754"/>
    </w:p>
    <w:p>
      <w:pPr>
        <w:spacing w:line="560" w:lineRule="exact"/>
        <w:ind w:firstLine="602"/>
        <w:rPr>
          <w:color w:val="auto"/>
        </w:rPr>
      </w:pPr>
      <w:r>
        <w:rPr>
          <w:rFonts w:hint="eastAsia"/>
          <w:b/>
          <w:bCs/>
          <w:color w:val="auto"/>
        </w:rPr>
        <w:t>明确区属养老机构补充指导功能。</w:t>
      </w:r>
      <w:r>
        <w:rPr>
          <w:rFonts w:hint="eastAsia"/>
          <w:color w:val="auto"/>
        </w:rPr>
        <w:t>区属养老机构由政府主导建设、市场参与运营，并承担指导区域内养老服务规范、补充区域内养老服务空缺的职能，提高综合服务供给。重点接待街道（乡镇）属公办养老机构满员后转送的失能且高龄的基本养老服务对象。至</w:t>
      </w:r>
      <w:r>
        <w:rPr>
          <w:color w:val="auto"/>
        </w:rPr>
        <w:t>2025年，</w:t>
      </w:r>
      <w:r>
        <w:rPr>
          <w:rFonts w:hint="eastAsia"/>
          <w:color w:val="auto"/>
        </w:rPr>
        <w:t>各</w:t>
      </w:r>
      <w:r>
        <w:rPr>
          <w:color w:val="auto"/>
        </w:rPr>
        <w:t>区通过现有设施挖潜改造或扩建、优质闲置资源优先补缺等多种方式实现一处</w:t>
      </w:r>
      <w:r>
        <w:rPr>
          <w:rFonts w:hint="eastAsia"/>
          <w:color w:val="auto"/>
        </w:rPr>
        <w:t>或多处</w:t>
      </w:r>
      <w:r>
        <w:rPr>
          <w:color w:val="auto"/>
        </w:rPr>
        <w:t>400床以上的区属养老机构。</w:t>
      </w:r>
    </w:p>
    <w:p>
      <w:pPr>
        <w:spacing w:line="560" w:lineRule="exact"/>
        <w:ind w:firstLine="602"/>
        <w:rPr>
          <w:color w:val="auto"/>
        </w:rPr>
      </w:pPr>
      <w:r>
        <w:rPr>
          <w:rFonts w:hint="eastAsia"/>
          <w:b/>
          <w:bCs/>
          <w:color w:val="auto"/>
        </w:rPr>
        <w:t>建设区属精神残疾福利机构。</w:t>
      </w:r>
      <w:r>
        <w:rPr>
          <w:rFonts w:hint="eastAsia"/>
          <w:color w:val="auto"/>
        </w:rPr>
        <w:t>加强对精神残疾人等困难老年人群的特殊服务。至</w:t>
      </w:r>
      <w:r>
        <w:rPr>
          <w:color w:val="auto"/>
        </w:rPr>
        <w:t>2035年，布局建设多样性、专业性、符合区域内需要的区属福利机构</w:t>
      </w:r>
      <w:r>
        <w:rPr>
          <w:rFonts w:hint="eastAsia"/>
          <w:color w:val="auto"/>
        </w:rPr>
        <w:t>。</w:t>
      </w:r>
    </w:p>
    <w:p>
      <w:pPr>
        <w:pStyle w:val="4"/>
        <w:spacing w:before="205" w:after="205" w:line="560" w:lineRule="exact"/>
        <w:rPr>
          <w:color w:val="auto"/>
        </w:rPr>
      </w:pPr>
      <w:bookmarkStart w:id="237" w:name="_Toc11839839"/>
      <w:bookmarkStart w:id="238" w:name="_Toc11838528"/>
      <w:bookmarkStart w:id="239" w:name="_Hlk16676838"/>
      <w:bookmarkStart w:id="240" w:name="_Hlk27237226"/>
      <w:bookmarkStart w:id="241" w:name="_Toc10617_WPSOffice_Level3"/>
      <w:bookmarkStart w:id="242" w:name="_Toc15122_WPSOffice_Level3"/>
      <w:bookmarkStart w:id="243" w:name="_Toc17180_WPSOffice_Level3"/>
      <w:bookmarkStart w:id="244" w:name="_Toc11839840"/>
      <w:bookmarkStart w:id="245" w:name="_Toc7391_WPSOffice_Level3"/>
      <w:bookmarkStart w:id="246" w:name="_Toc594_WPSOffice_Level3"/>
      <w:bookmarkStart w:id="247" w:name="_Toc11838529"/>
      <w:bookmarkStart w:id="248" w:name="_Toc24765_WPSOffice_Level3"/>
      <w:bookmarkStart w:id="249" w:name="_Toc7178_WPSOffice_Level3"/>
      <w:bookmarkStart w:id="250" w:name="_Toc31644_WPSOffice_Level3"/>
      <w:bookmarkStart w:id="251" w:name="_Toc26374_WPSOffice_Level3"/>
      <w:bookmarkStart w:id="252" w:name="_Toc12225_WPSOffice_Level3"/>
      <w:bookmarkStart w:id="253" w:name="_Toc17558_WPSOffice_Level3"/>
      <w:bookmarkStart w:id="254" w:name="_Toc14867_WPSOffice_Level3"/>
      <w:r>
        <w:rPr>
          <w:color w:val="auto"/>
        </w:rPr>
        <w:t>第</w:t>
      </w:r>
      <w:r>
        <w:rPr>
          <w:rFonts w:hint="eastAsia"/>
          <w:color w:val="auto"/>
          <w:lang w:val="en-US" w:eastAsia="zh-CN"/>
        </w:rPr>
        <w:t>3</w:t>
      </w:r>
      <w:r>
        <w:rPr>
          <w:rFonts w:hint="eastAsia"/>
          <w:color w:val="auto"/>
        </w:rPr>
        <w:t>9</w:t>
      </w:r>
      <w:r>
        <w:rPr>
          <w:color w:val="auto"/>
        </w:rPr>
        <w:t>条</w:t>
      </w:r>
      <w:r>
        <w:rPr>
          <w:rFonts w:hint="eastAsia"/>
          <w:color w:val="auto"/>
        </w:rPr>
        <w:t xml:space="preserve"> </w:t>
      </w:r>
      <w:r>
        <w:rPr>
          <w:color w:val="auto"/>
        </w:rPr>
        <w:t>街道</w:t>
      </w:r>
      <w:r>
        <w:rPr>
          <w:rFonts w:hint="eastAsia"/>
          <w:color w:val="auto"/>
        </w:rPr>
        <w:t>（</w:t>
      </w:r>
      <w:r>
        <w:rPr>
          <w:color w:val="auto"/>
        </w:rPr>
        <w:t>乡镇</w:t>
      </w:r>
      <w:r>
        <w:rPr>
          <w:rFonts w:hint="eastAsia"/>
          <w:color w:val="auto"/>
        </w:rPr>
        <w:t>）</w:t>
      </w:r>
      <w:r>
        <w:rPr>
          <w:rFonts w:hint="eastAsia"/>
          <w:color w:val="auto"/>
          <w:lang w:eastAsia="zh-CN"/>
        </w:rPr>
        <w:t>层面</w:t>
      </w:r>
      <w:r>
        <w:rPr>
          <w:rFonts w:hint="eastAsia"/>
          <w:color w:val="auto"/>
        </w:rPr>
        <w:t>公</w:t>
      </w:r>
      <w:r>
        <w:rPr>
          <w:color w:val="auto"/>
        </w:rPr>
        <w:t>办养老机构</w:t>
      </w:r>
      <w:bookmarkEnd w:id="237"/>
      <w:bookmarkEnd w:id="238"/>
      <w:bookmarkEnd w:id="239"/>
      <w:r>
        <w:rPr>
          <w:rFonts w:hint="eastAsia"/>
          <w:color w:val="auto"/>
        </w:rPr>
        <w:t>及养老照料中心</w:t>
      </w:r>
      <w:bookmarkEnd w:id="240"/>
    </w:p>
    <w:p>
      <w:pPr>
        <w:wordWrap w:val="0"/>
        <w:autoSpaceDE w:val="0"/>
        <w:autoSpaceDN w:val="0"/>
        <w:adjustRightInd w:val="0"/>
        <w:spacing w:line="560" w:lineRule="exact"/>
        <w:ind w:firstLine="602"/>
        <w:rPr>
          <w:rFonts w:cs="Times New Roman"/>
          <w:color w:val="auto"/>
          <w:szCs w:val="30"/>
        </w:rPr>
      </w:pPr>
      <w:r>
        <w:rPr>
          <w:rFonts w:hint="eastAsia"/>
          <w:b/>
          <w:bCs/>
          <w:color w:val="auto"/>
        </w:rPr>
        <w:t>承担区域内基本养老服务保障职能。</w:t>
      </w:r>
      <w:r>
        <w:rPr>
          <w:color w:val="auto"/>
        </w:rPr>
        <w:t>街道</w:t>
      </w:r>
      <w:r>
        <w:rPr>
          <w:rFonts w:hint="eastAsia"/>
          <w:color w:val="auto"/>
        </w:rPr>
        <w:t>（</w:t>
      </w:r>
      <w:r>
        <w:rPr>
          <w:color w:val="auto"/>
        </w:rPr>
        <w:t>乡镇</w:t>
      </w:r>
      <w:r>
        <w:rPr>
          <w:rFonts w:hint="eastAsia"/>
          <w:color w:val="auto"/>
        </w:rPr>
        <w:t>）</w:t>
      </w:r>
      <w:r>
        <w:rPr>
          <w:rFonts w:hint="eastAsia"/>
          <w:color w:val="auto"/>
          <w:lang w:eastAsia="zh-CN"/>
        </w:rPr>
        <w:t>层面</w:t>
      </w:r>
      <w:r>
        <w:rPr>
          <w:rFonts w:hint="eastAsia"/>
          <w:color w:val="auto"/>
        </w:rPr>
        <w:t>公</w:t>
      </w:r>
      <w:r>
        <w:rPr>
          <w:color w:val="auto"/>
        </w:rPr>
        <w:t>办养老机构</w:t>
      </w:r>
      <w:r>
        <w:rPr>
          <w:rFonts w:hint="eastAsia"/>
          <w:color w:val="auto"/>
        </w:rPr>
        <w:t>重点接收</w:t>
      </w:r>
      <w:r>
        <w:rPr>
          <w:color w:val="auto"/>
        </w:rPr>
        <w:t>有入住需求的</w:t>
      </w:r>
      <w:r>
        <w:rPr>
          <w:rFonts w:hint="eastAsia"/>
          <w:color w:val="auto"/>
        </w:rPr>
        <w:t>基本养老服务对象，</w:t>
      </w:r>
      <w:r>
        <w:rPr>
          <w:color w:val="auto"/>
        </w:rPr>
        <w:t>同时利用</w:t>
      </w:r>
      <w:r>
        <w:rPr>
          <w:rFonts w:hint="eastAsia"/>
          <w:color w:val="auto"/>
        </w:rPr>
        <w:t>属地</w:t>
      </w:r>
      <w:r>
        <w:rPr>
          <w:color w:val="auto"/>
        </w:rPr>
        <w:t>养老机构</w:t>
      </w:r>
      <w:r>
        <w:rPr>
          <w:rFonts w:hint="eastAsia"/>
          <w:color w:val="auto"/>
        </w:rPr>
        <w:t>统筹引领和</w:t>
      </w:r>
      <w:r>
        <w:rPr>
          <w:color w:val="auto"/>
        </w:rPr>
        <w:t>资源集中优势，</w:t>
      </w:r>
      <w:r>
        <w:rPr>
          <w:rFonts w:hint="eastAsia"/>
          <w:color w:val="auto"/>
        </w:rPr>
        <w:t>面向辖区社会办养老机构，发挥示范规划作用，</w:t>
      </w:r>
      <w:r>
        <w:rPr>
          <w:color w:val="auto"/>
        </w:rPr>
        <w:t>开展多样化的居家社区养老服务。</w:t>
      </w:r>
      <w:r>
        <w:rPr>
          <w:rFonts w:hint="eastAsia"/>
          <w:color w:val="auto"/>
        </w:rPr>
        <w:t>拓展现有街道（乡镇）属公办养老机构服务范围，鼓励利用自身资源优势，为周边社区居住在家的老年人提供服务。</w:t>
      </w:r>
      <w:r>
        <w:rPr>
          <w:color w:val="auto"/>
        </w:rPr>
        <w:t>街道</w:t>
      </w:r>
      <w:r>
        <w:rPr>
          <w:rFonts w:hint="eastAsia"/>
          <w:color w:val="auto"/>
        </w:rPr>
        <w:t>（</w:t>
      </w:r>
      <w:r>
        <w:rPr>
          <w:color w:val="auto"/>
        </w:rPr>
        <w:t>乡镇</w:t>
      </w:r>
      <w:r>
        <w:rPr>
          <w:rFonts w:hint="eastAsia"/>
          <w:color w:val="auto"/>
        </w:rPr>
        <w:t>）</w:t>
      </w:r>
      <w:r>
        <w:rPr>
          <w:rFonts w:hint="eastAsia"/>
          <w:color w:val="auto"/>
          <w:lang w:eastAsia="zh-CN"/>
        </w:rPr>
        <w:t>层面</w:t>
      </w:r>
      <w:r>
        <w:rPr>
          <w:rFonts w:hint="eastAsia"/>
          <w:color w:val="auto"/>
        </w:rPr>
        <w:t>公</w:t>
      </w:r>
      <w:r>
        <w:rPr>
          <w:color w:val="auto"/>
        </w:rPr>
        <w:t>办养老机构</w:t>
      </w:r>
      <w:r>
        <w:rPr>
          <w:rFonts w:hint="eastAsia"/>
          <w:color w:val="auto"/>
        </w:rPr>
        <w:t>包括街乡镇自主建设的公办养老机构</w:t>
      </w:r>
      <w:r>
        <w:rPr>
          <w:rFonts w:hint="eastAsia"/>
          <w:color w:val="auto"/>
          <w:lang w:eastAsia="zh-CN"/>
        </w:rPr>
        <w:t>以及</w:t>
      </w:r>
      <w:r>
        <w:rPr>
          <w:rFonts w:hint="eastAsia"/>
          <w:color w:val="auto"/>
        </w:rPr>
        <w:t>按照新建小区配建养老服务设施相关政策，所有权归区民政局、由街乡镇实际使用的小区配建养老机构。</w:t>
      </w:r>
    </w:p>
    <w:p>
      <w:pPr>
        <w:spacing w:line="560" w:lineRule="exact"/>
        <w:ind w:firstLine="602"/>
        <w:rPr>
          <w:color w:val="auto"/>
        </w:rPr>
      </w:pPr>
      <w:r>
        <w:rPr>
          <w:rFonts w:hint="eastAsia"/>
          <w:b/>
          <w:bCs/>
          <w:color w:val="auto"/>
        </w:rPr>
        <w:t>发挥居家养老辐射和拓展作用。</w:t>
      </w:r>
      <w:r>
        <w:rPr>
          <w:rFonts w:hint="eastAsia"/>
          <w:color w:val="auto"/>
        </w:rPr>
        <w:t>充分发挥街道（乡镇）</w:t>
      </w:r>
      <w:r>
        <w:rPr>
          <w:rFonts w:hint="eastAsia"/>
          <w:color w:val="auto"/>
          <w:lang w:eastAsia="zh-CN"/>
        </w:rPr>
        <w:t>层面</w:t>
      </w:r>
      <w:r>
        <w:rPr>
          <w:rFonts w:hint="eastAsia"/>
          <w:color w:val="auto"/>
        </w:rPr>
        <w:t>公办养老机构及养老照料中心对社区托老和居家助老的辐射和拓展作用，提供24小时以上长期入住服务，消除老人及其亲属对入住养老机构的陌生感。利用自身专业护理人员，为社区老年人开展的各项服务提供专业技术支持，同时向老年人家属、家务服务人员和社区居民开展生活照料和护理技能实训，为社区居民宣传和传授为老服务专业知识。</w:t>
      </w:r>
    </w:p>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Pr>
        <w:spacing w:line="560" w:lineRule="exact"/>
        <w:ind w:firstLine="602"/>
        <w:rPr>
          <w:color w:val="auto"/>
        </w:rPr>
      </w:pPr>
      <w:r>
        <w:rPr>
          <w:rFonts w:hint="eastAsia"/>
          <w:b/>
          <w:bCs/>
          <w:color w:val="auto"/>
          <w:lang w:eastAsia="zh-CN"/>
        </w:rPr>
        <w:t>增</w:t>
      </w:r>
      <w:r>
        <w:rPr>
          <w:rFonts w:hint="eastAsia"/>
          <w:b/>
          <w:bCs/>
          <w:color w:val="auto"/>
        </w:rPr>
        <w:t>设街道（乡镇）居家养老服务中心。</w:t>
      </w:r>
      <w:r>
        <w:rPr>
          <w:rFonts w:hint="eastAsia"/>
          <w:color w:val="auto"/>
        </w:rPr>
        <w:t>在街道（乡镇）养老照料中心建设基础上因地制宜加设街道（乡镇）居家养老服务中心，统筹</w:t>
      </w:r>
      <w:r>
        <w:rPr>
          <w:color w:val="auto"/>
          <w:spacing w:val="8"/>
          <w:shd w:val="clear" w:color="auto" w:fill="FFFFFF"/>
        </w:rPr>
        <w:t>街道</w:t>
      </w:r>
      <w:r>
        <w:rPr>
          <w:rFonts w:hint="eastAsia"/>
          <w:color w:val="auto"/>
          <w:spacing w:val="8"/>
          <w:shd w:val="clear" w:color="auto" w:fill="FFFFFF"/>
        </w:rPr>
        <w:t>内养老服务资源，</w:t>
      </w:r>
      <w:r>
        <w:rPr>
          <w:color w:val="auto"/>
          <w:spacing w:val="8"/>
          <w:shd w:val="clear" w:color="auto" w:fill="FFFFFF"/>
        </w:rPr>
        <w:t>建设街道线上</w:t>
      </w:r>
      <w:r>
        <w:rPr>
          <w:rFonts w:hint="eastAsia"/>
          <w:color w:val="auto"/>
          <w:spacing w:val="8"/>
          <w:shd w:val="clear" w:color="auto" w:fill="FFFFFF"/>
        </w:rPr>
        <w:t>养老服务</w:t>
      </w:r>
      <w:r>
        <w:rPr>
          <w:color w:val="auto"/>
          <w:spacing w:val="8"/>
          <w:shd w:val="clear" w:color="auto" w:fill="FFFFFF"/>
        </w:rPr>
        <w:t>综合管理等</w:t>
      </w:r>
      <w:r>
        <w:rPr>
          <w:rFonts w:hint="eastAsia"/>
          <w:color w:val="auto"/>
          <w:spacing w:val="8"/>
          <w:shd w:val="clear" w:color="auto" w:fill="FFFFFF"/>
        </w:rPr>
        <w:t>信息化</w:t>
      </w:r>
      <w:r>
        <w:rPr>
          <w:color w:val="auto"/>
          <w:spacing w:val="8"/>
          <w:shd w:val="clear" w:color="auto" w:fill="FFFFFF"/>
        </w:rPr>
        <w:t>平台</w:t>
      </w:r>
      <w:r>
        <w:rPr>
          <w:rFonts w:hint="eastAsia"/>
          <w:color w:val="auto"/>
          <w:spacing w:val="8"/>
          <w:shd w:val="clear" w:color="auto" w:fill="FFFFFF"/>
        </w:rPr>
        <w:t>和老年人基本情况信息库</w:t>
      </w:r>
      <w:r>
        <w:rPr>
          <w:rFonts w:hint="eastAsia"/>
          <w:color w:val="auto"/>
        </w:rPr>
        <w:t>。收集分析老年人服务需求，通过整合连接辐射区域及周边的养老服务资源，建立合作或协作关系，</w:t>
      </w:r>
      <w:r>
        <w:rPr>
          <w:color w:val="auto"/>
          <w:shd w:val="clear" w:color="auto" w:fill="FFFFFF"/>
        </w:rPr>
        <w:t>解决</w:t>
      </w:r>
      <w:r>
        <w:rPr>
          <w:rFonts w:hint="eastAsia"/>
          <w:color w:val="auto"/>
          <w:shd w:val="clear" w:color="auto" w:fill="FFFFFF"/>
        </w:rPr>
        <w:t>街道内老年人</w:t>
      </w:r>
      <w:r>
        <w:rPr>
          <w:color w:val="auto"/>
          <w:shd w:val="clear" w:color="auto" w:fill="FFFFFF"/>
        </w:rPr>
        <w:t>个性化服务</w:t>
      </w:r>
      <w:r>
        <w:rPr>
          <w:rFonts w:hint="eastAsia"/>
          <w:color w:val="auto"/>
          <w:shd w:val="clear" w:color="auto" w:fill="FFFFFF"/>
        </w:rPr>
        <w:t>需求</w:t>
      </w:r>
      <w:r>
        <w:rPr>
          <w:rFonts w:hint="eastAsia"/>
          <w:color w:val="auto"/>
        </w:rPr>
        <w:t>。</w:t>
      </w:r>
      <w:bookmarkStart w:id="255" w:name="_Toc19961_WPSOffice_Level3"/>
      <w:bookmarkStart w:id="256" w:name="_Toc1640_WPSOffice_Level3"/>
      <w:bookmarkStart w:id="257" w:name="_Toc7012_WPSOffice_Level3"/>
      <w:bookmarkStart w:id="258" w:name="_Toc31285_WPSOffice_Level3"/>
      <w:bookmarkStart w:id="259" w:name="_Toc6198_WPSOffice_Level3"/>
      <w:bookmarkStart w:id="260" w:name="_Toc26233_WPSOffice_Level3"/>
      <w:bookmarkStart w:id="261" w:name="_Toc6487_WPSOffice_Level3"/>
      <w:bookmarkStart w:id="262" w:name="_Toc24952_WPSOffice_Level3"/>
      <w:bookmarkStart w:id="263" w:name="_Toc17841_WPSOffice_Level3"/>
      <w:bookmarkStart w:id="264" w:name="_Toc1144_WPSOffice_Level3"/>
      <w:bookmarkStart w:id="265" w:name="_Toc926_WPSOffice_Level3"/>
      <w:bookmarkStart w:id="266" w:name="_Toc15551_WPSOffice_Level3"/>
    </w:p>
    <w:p>
      <w:pPr>
        <w:spacing w:line="560" w:lineRule="exact"/>
        <w:ind w:firstLine="602"/>
        <w:rPr>
          <w:color w:val="auto"/>
        </w:rPr>
      </w:pPr>
      <w:r>
        <w:rPr>
          <w:rFonts w:hint="eastAsia"/>
          <w:b/>
          <w:bCs/>
          <w:color w:val="auto"/>
        </w:rPr>
        <w:t>改善农村特困人员供养服务设施（敬老院）条件。</w:t>
      </w:r>
      <w:r>
        <w:rPr>
          <w:rFonts w:hint="eastAsia"/>
          <w:color w:val="auto"/>
        </w:rPr>
        <w:t>推动农村特困人员供养服务设施（敬老院）达标，满足农村特困人员集中供养需求，为农村低收入老年人和失能老年人提供便捷可及的养老服务。</w:t>
      </w:r>
    </w:p>
    <w:p>
      <w:pPr>
        <w:spacing w:line="560" w:lineRule="exact"/>
        <w:ind w:firstLine="602"/>
        <w:rPr>
          <w:color w:val="auto"/>
        </w:rPr>
      </w:pPr>
      <w:r>
        <w:rPr>
          <w:rFonts w:hint="eastAsia"/>
          <w:b/>
          <w:bCs/>
          <w:color w:val="auto"/>
        </w:rPr>
        <w:t>调整老年人口集中区域的建设方式。</w:t>
      </w:r>
      <w:r>
        <w:rPr>
          <w:rFonts w:hint="eastAsia"/>
          <w:color w:val="auto"/>
        </w:rPr>
        <w:t>本着满足集中服务需求的原则，结合街道（乡镇）辖区的老年人口密度高低和行政区域范围大小，全市统筹平衡后，允许部分老年人口集中的街道（乡镇）酌情建设</w:t>
      </w:r>
      <w:r>
        <w:rPr>
          <w:color w:val="auto"/>
        </w:rPr>
        <w:t>2</w:t>
      </w:r>
      <w:r>
        <w:rPr>
          <w:rFonts w:hint="eastAsia"/>
          <w:color w:val="auto"/>
        </w:rPr>
        <w:t>至</w:t>
      </w:r>
      <w:r>
        <w:rPr>
          <w:color w:val="auto"/>
        </w:rPr>
        <w:t>3个养老照料中心</w:t>
      </w:r>
      <w:r>
        <w:rPr>
          <w:rFonts w:hint="eastAsia"/>
          <w:color w:val="auto"/>
        </w:rPr>
        <w:t>，使其成为就近养老的集中养老专业服务平台。到</w:t>
      </w:r>
      <w:r>
        <w:rPr>
          <w:color w:val="auto"/>
        </w:rPr>
        <w:t>2025年底，对1所养老照料中心居家辐射功能难以覆盖的，支持街道（乡镇）增建1所，以满足区域内的养老服务需求。</w:t>
      </w:r>
      <w:r>
        <w:rPr>
          <w:rFonts w:hint="eastAsia"/>
          <w:color w:val="auto"/>
        </w:rPr>
        <w:t>2035年实现90%以上的街乡镇养老机构获得政府、土地、设施、运营上的特殊支持。床位数符合区域内80%以上失能失智老年人就近获取长期照护服务的需求。</w:t>
      </w:r>
    </w:p>
    <w:p>
      <w:pPr>
        <w:pStyle w:val="4"/>
        <w:spacing w:before="205" w:after="205" w:line="560" w:lineRule="exact"/>
        <w:rPr>
          <w:color w:val="auto"/>
        </w:rPr>
      </w:pPr>
      <w:bookmarkStart w:id="267" w:name="_Toc11838530"/>
      <w:bookmarkStart w:id="268" w:name="_Toc11839841"/>
      <w:r>
        <w:rPr>
          <w:color w:val="auto"/>
        </w:rPr>
        <w:t>第</w:t>
      </w:r>
      <w:r>
        <w:rPr>
          <w:rFonts w:hint="eastAsia"/>
          <w:color w:val="auto"/>
          <w:lang w:val="en-US" w:eastAsia="zh-CN"/>
        </w:rPr>
        <w:t>4</w:t>
      </w:r>
      <w:r>
        <w:rPr>
          <w:rFonts w:hint="eastAsia"/>
          <w:color w:val="auto"/>
        </w:rPr>
        <w:t>0</w:t>
      </w:r>
      <w:r>
        <w:rPr>
          <w:color w:val="auto"/>
        </w:rPr>
        <w:t>条</w:t>
      </w:r>
      <w:r>
        <w:rPr>
          <w:rFonts w:hint="eastAsia"/>
          <w:color w:val="auto"/>
        </w:rPr>
        <w:t xml:space="preserve"> </w:t>
      </w:r>
      <w:r>
        <w:rPr>
          <w:color w:val="auto"/>
        </w:rPr>
        <w:t>社区养老服务驿站（农村幸福晚年驿站）</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pPr>
        <w:spacing w:line="560" w:lineRule="exact"/>
        <w:ind w:firstLine="602"/>
        <w:rPr>
          <w:color w:val="auto"/>
        </w:rPr>
      </w:pPr>
      <w:r>
        <w:rPr>
          <w:rFonts w:hint="eastAsia"/>
          <w:b/>
          <w:bCs/>
          <w:color w:val="auto"/>
        </w:rPr>
        <w:t>充分利用社区资源，就近提供居家养老服务。</w:t>
      </w:r>
      <w:r>
        <w:rPr>
          <w:rFonts w:hint="eastAsia"/>
          <w:color w:val="auto"/>
        </w:rPr>
        <w:t>社区养老服务驿站</w:t>
      </w:r>
      <w:r>
        <w:rPr>
          <w:rFonts w:cs="Times New Roman"/>
          <w:color w:val="auto"/>
        </w:rPr>
        <w:t>作为居家养老服务的基础，是</w:t>
      </w:r>
      <w:r>
        <w:rPr>
          <w:rFonts w:hint="eastAsia" w:cs="Times New Roman"/>
          <w:color w:val="auto"/>
        </w:rPr>
        <w:t>为</w:t>
      </w:r>
      <w:r>
        <w:rPr>
          <w:rFonts w:cs="Times New Roman"/>
          <w:color w:val="auto"/>
        </w:rPr>
        <w:t>社区</w:t>
      </w:r>
      <w:r>
        <w:rPr>
          <w:rFonts w:hint="eastAsia" w:cs="Times New Roman"/>
          <w:color w:val="auto"/>
        </w:rPr>
        <w:t>内</w:t>
      </w:r>
      <w:r>
        <w:rPr>
          <w:rFonts w:cs="Times New Roman"/>
          <w:color w:val="auto"/>
        </w:rPr>
        <w:t>老年人提供基本养老服务的重要</w:t>
      </w:r>
      <w:r>
        <w:rPr>
          <w:rFonts w:hint="eastAsia" w:cs="Times New Roman"/>
          <w:color w:val="auto"/>
        </w:rPr>
        <w:t>载体</w:t>
      </w:r>
      <w:r>
        <w:rPr>
          <w:rFonts w:cs="Times New Roman"/>
          <w:color w:val="auto"/>
        </w:rPr>
        <w:t>和主要途径</w:t>
      </w:r>
      <w:r>
        <w:rPr>
          <w:rFonts w:hint="eastAsia"/>
          <w:color w:val="auto"/>
        </w:rPr>
        <w:t>。采取“政府提供设施、市场负责运营”方式建设社区养老服务驿站，打造社区居家养老“总服务台”。</w:t>
      </w:r>
      <w:r>
        <w:rPr>
          <w:color w:val="auto"/>
        </w:rPr>
        <w:t>2025年，配建设施达标率达到100%。老城区和已建成居住（小）区无养老服务设施或现有设施未达到规划要求的，通过购置、置换、租赁等方式配齐，根据人口老龄化加深程度，研究提高规划标准。</w:t>
      </w:r>
    </w:p>
    <w:p>
      <w:pPr>
        <w:spacing w:line="560" w:lineRule="exact"/>
        <w:ind w:firstLine="602"/>
        <w:rPr>
          <w:color w:val="auto"/>
        </w:rPr>
      </w:pPr>
      <w:r>
        <w:rPr>
          <w:rFonts w:hint="eastAsia"/>
          <w:b/>
          <w:bCs/>
          <w:color w:val="auto"/>
        </w:rPr>
        <w:t>完善“十五分钟服务圈”。</w:t>
      </w:r>
      <w:r>
        <w:rPr>
          <w:rFonts w:hint="eastAsia"/>
          <w:color w:val="auto"/>
        </w:rPr>
        <w:t>根据老年人口分布情况，将社区养老服务驿站建设与街乡镇养老照料中心协同建设，建设“十五分钟服务圈”。充实社区养老服务驿站（农村幸福晚年驿站）的服务内容，建立居家社区探访制度，使驿站持续良性运营，切实为老年人提供就近居家养老服务。</w:t>
      </w:r>
    </w:p>
    <w:p>
      <w:pPr>
        <w:spacing w:line="560" w:lineRule="exact"/>
        <w:ind w:firstLine="600"/>
        <w:rPr>
          <w:color w:val="auto"/>
        </w:rPr>
      </w:pPr>
      <w:r>
        <w:rPr>
          <w:rFonts w:hint="eastAsia"/>
          <w:color w:val="auto"/>
        </w:rPr>
        <w:t>到2</w:t>
      </w:r>
      <w:r>
        <w:rPr>
          <w:color w:val="auto"/>
        </w:rPr>
        <w:t>0</w:t>
      </w:r>
      <w:r>
        <w:rPr>
          <w:rFonts w:hint="eastAsia"/>
          <w:color w:val="auto"/>
        </w:rPr>
        <w:t>2</w:t>
      </w:r>
      <w:r>
        <w:rPr>
          <w:color w:val="auto"/>
        </w:rPr>
        <w:t>5年</w:t>
      </w:r>
      <w:r>
        <w:rPr>
          <w:rFonts w:hint="eastAsia"/>
          <w:color w:val="auto"/>
        </w:rPr>
        <w:t>，全市共建设社区养老服务驿站（农村幸福晚年驿站）1</w:t>
      </w:r>
      <w:r>
        <w:rPr>
          <w:color w:val="auto"/>
        </w:rPr>
        <w:t>2</w:t>
      </w:r>
      <w:r>
        <w:rPr>
          <w:rFonts w:hint="eastAsia"/>
          <w:color w:val="auto"/>
        </w:rPr>
        <w:t>00个，</w:t>
      </w:r>
      <w:r>
        <w:rPr>
          <w:color w:val="auto"/>
        </w:rPr>
        <w:t>与其他社区便民服务共同构成</w:t>
      </w:r>
      <w:r>
        <w:rPr>
          <w:rFonts w:hint="eastAsia"/>
          <w:color w:val="auto"/>
        </w:rPr>
        <w:t>“十五分钟</w:t>
      </w:r>
      <w:r>
        <w:rPr>
          <w:color w:val="auto"/>
        </w:rPr>
        <w:t>服务圈</w:t>
      </w:r>
      <w:r>
        <w:rPr>
          <w:rFonts w:hint="eastAsia"/>
          <w:color w:val="auto"/>
        </w:rPr>
        <w:t>”</w:t>
      </w:r>
      <w:r>
        <w:rPr>
          <w:color w:val="auto"/>
        </w:rPr>
        <w:t>，在城镇社区满足服务半径1000米的布局要求。</w:t>
      </w:r>
    </w:p>
    <w:bookmarkEnd w:id="192"/>
    <w:bookmarkEnd w:id="193"/>
    <w:p>
      <w:pPr>
        <w:pStyle w:val="3"/>
        <w:spacing w:before="205" w:after="205" w:line="560" w:lineRule="exact"/>
        <w:rPr>
          <w:color w:val="auto"/>
        </w:rPr>
      </w:pPr>
      <w:bookmarkStart w:id="269" w:name="_Toc7320"/>
      <w:bookmarkStart w:id="270" w:name="_Toc15841"/>
      <w:bookmarkStart w:id="271" w:name="_Toc13985"/>
      <w:bookmarkStart w:id="272" w:name="_Toc31538"/>
      <w:bookmarkStart w:id="273" w:name="_Toc25668"/>
      <w:bookmarkStart w:id="274" w:name="_Toc49397900"/>
      <w:r>
        <w:rPr>
          <w:rFonts w:hint="eastAsia"/>
          <w:color w:val="auto"/>
        </w:rPr>
        <w:t>第三节 明确就近原则</w:t>
      </w:r>
      <w:bookmarkEnd w:id="269"/>
      <w:bookmarkEnd w:id="270"/>
      <w:bookmarkEnd w:id="271"/>
      <w:bookmarkEnd w:id="272"/>
      <w:bookmarkEnd w:id="273"/>
      <w:bookmarkEnd w:id="274"/>
    </w:p>
    <w:p>
      <w:pPr>
        <w:pStyle w:val="4"/>
        <w:spacing w:before="205" w:after="205" w:line="560" w:lineRule="exact"/>
        <w:rPr>
          <w:color w:val="auto"/>
        </w:rPr>
      </w:pPr>
      <w:r>
        <w:rPr>
          <w:rFonts w:hint="eastAsia"/>
          <w:color w:val="auto"/>
        </w:rPr>
        <w:t>第</w:t>
      </w:r>
      <w:r>
        <w:rPr>
          <w:rFonts w:hint="eastAsia"/>
          <w:color w:val="auto"/>
          <w:lang w:val="en-US" w:eastAsia="zh-CN"/>
        </w:rPr>
        <w:t>4</w:t>
      </w:r>
      <w:r>
        <w:rPr>
          <w:rFonts w:hint="eastAsia"/>
          <w:color w:val="auto"/>
        </w:rPr>
        <w:t>1条 精准对接老年人需求</w:t>
      </w:r>
    </w:p>
    <w:p>
      <w:pPr>
        <w:spacing w:line="560" w:lineRule="exact"/>
        <w:ind w:firstLine="602"/>
        <w:rPr>
          <w:color w:val="auto"/>
        </w:rPr>
      </w:pPr>
      <w:r>
        <w:rPr>
          <w:rFonts w:hint="eastAsia"/>
          <w:b/>
          <w:bCs/>
          <w:color w:val="auto"/>
        </w:rPr>
        <w:t>把握不同程度的养老服务需求</w:t>
      </w:r>
      <w:r>
        <w:rPr>
          <w:rFonts w:hint="eastAsia"/>
          <w:color w:val="auto"/>
        </w:rPr>
        <w:t>。全面实行老年人能力综合评估。落实《北京市老年人能力综合评估实施办法（试行）》，健全完善老年人能力综合评估工作机制，制定老年人能力综合评估规范，建立专业化的老年人能力综合评估机构和评估队伍。开展农村空巢和留守老年人排查，掌握精准到村、到户、到人的基本信息。建立以空巢和留守老年人为重点的居家探访跟踪机制，明确探访对象、探访内容、探访程序及工作要求，确保精准对接其养老服务需求，协调就近养老服务设施提供服务。</w:t>
      </w:r>
    </w:p>
    <w:p>
      <w:pPr>
        <w:spacing w:line="560" w:lineRule="exact"/>
        <w:ind w:firstLine="602"/>
        <w:rPr>
          <w:color w:val="auto"/>
        </w:rPr>
      </w:pPr>
      <w:r>
        <w:rPr>
          <w:rFonts w:hint="eastAsia"/>
          <w:b/>
          <w:bCs/>
          <w:color w:val="auto"/>
        </w:rPr>
        <w:t>整合综合服务设施，覆盖养老服务需求。</w:t>
      </w:r>
      <w:r>
        <w:rPr>
          <w:rFonts w:hint="eastAsia"/>
          <w:color w:val="auto"/>
        </w:rPr>
        <w:t>加强社区养老服务设施与社区综合服务设施整合利用。鼓励连锁大型养老服务机构集中运营社区养老服务设施。</w:t>
      </w:r>
      <w:r>
        <w:rPr>
          <w:color w:val="auto"/>
        </w:rPr>
        <w:t>支持社区养老服务设施配备康复辅助器具，并提供专业指导</w:t>
      </w:r>
      <w:r>
        <w:rPr>
          <w:rFonts w:hint="eastAsia"/>
          <w:color w:val="auto"/>
        </w:rPr>
        <w:t>，</w:t>
      </w:r>
      <w:r>
        <w:rPr>
          <w:color w:val="auto"/>
        </w:rPr>
        <w:t>逐步建成</w:t>
      </w:r>
      <w:r>
        <w:rPr>
          <w:rFonts w:hint="eastAsia"/>
          <w:color w:val="auto"/>
        </w:rPr>
        <w:t>老年人</w:t>
      </w:r>
      <w:r>
        <w:rPr>
          <w:color w:val="auto"/>
        </w:rPr>
        <w:t>康复辅助器具社区服务体系，到2025年，形成一批可复制</w:t>
      </w:r>
      <w:r>
        <w:rPr>
          <w:rFonts w:hint="eastAsia"/>
          <w:color w:val="auto"/>
        </w:rPr>
        <w:t>、可</w:t>
      </w:r>
      <w:r>
        <w:rPr>
          <w:color w:val="auto"/>
        </w:rPr>
        <w:t>推广的康复辅助器具</w:t>
      </w:r>
      <w:r>
        <w:rPr>
          <w:rFonts w:hint="eastAsia"/>
          <w:color w:val="auto"/>
        </w:rPr>
        <w:t>配置、</w:t>
      </w:r>
      <w:r>
        <w:rPr>
          <w:color w:val="auto"/>
        </w:rPr>
        <w:t>租赁和回收再利用模式。</w:t>
      </w:r>
      <w:r>
        <w:rPr>
          <w:rFonts w:hint="eastAsia"/>
          <w:color w:val="auto"/>
        </w:rPr>
        <w:t>到</w:t>
      </w:r>
      <w:r>
        <w:rPr>
          <w:color w:val="auto"/>
        </w:rPr>
        <w:t>2035年，实现以居委会、村委会为单位的社区养老服务设施全覆盖</w:t>
      </w:r>
      <w:r>
        <w:rPr>
          <w:rFonts w:hint="eastAsia"/>
          <w:color w:val="auto"/>
        </w:rPr>
        <w:t>，满足老年人基本养老服务需求。</w:t>
      </w:r>
    </w:p>
    <w:p>
      <w:pPr>
        <w:pStyle w:val="4"/>
        <w:spacing w:before="205" w:after="205" w:line="560" w:lineRule="exact"/>
        <w:rPr>
          <w:color w:val="auto"/>
        </w:rPr>
      </w:pPr>
      <w:r>
        <w:rPr>
          <w:rFonts w:hint="eastAsia"/>
          <w:color w:val="auto"/>
        </w:rPr>
        <w:t>第</w:t>
      </w:r>
      <w:r>
        <w:rPr>
          <w:rFonts w:hint="eastAsia"/>
          <w:color w:val="auto"/>
          <w:lang w:val="en-US" w:eastAsia="zh-CN"/>
        </w:rPr>
        <w:t>4</w:t>
      </w:r>
      <w:r>
        <w:rPr>
          <w:rFonts w:hint="eastAsia"/>
          <w:color w:val="auto"/>
        </w:rPr>
        <w:t>2条 完善就近养老服务供给</w:t>
      </w:r>
    </w:p>
    <w:p>
      <w:pPr>
        <w:spacing w:line="560" w:lineRule="exact"/>
        <w:ind w:firstLine="602"/>
        <w:rPr>
          <w:color w:val="auto"/>
        </w:rPr>
      </w:pPr>
      <w:r>
        <w:rPr>
          <w:rFonts w:hint="eastAsia"/>
          <w:b/>
          <w:bCs/>
          <w:color w:val="auto"/>
        </w:rPr>
        <w:t>完善就近养老服务设施布局。</w:t>
      </w:r>
      <w:r>
        <w:rPr>
          <w:rFonts w:hint="eastAsia"/>
          <w:color w:val="auto"/>
        </w:rPr>
        <w:t>坚持扩大增量，推广养老家庭照护床位；鼓励各区在新建住宅、居住（小）区按一定比例配建试点社区嵌入式养老服务机构，并委托专业</w:t>
      </w:r>
      <w:r>
        <w:rPr>
          <w:rFonts w:hint="eastAsia"/>
          <w:color w:val="auto"/>
          <w:lang w:eastAsia="zh-CN"/>
        </w:rPr>
        <w:t>团队</w:t>
      </w:r>
      <w:r>
        <w:rPr>
          <w:rFonts w:hint="eastAsia"/>
          <w:color w:val="auto"/>
        </w:rPr>
        <w:t>运营。新建城区、新建居住小区按照标准配建养老服务设施；已建居住小区根据人口老龄化加深程度提高规划标准。</w:t>
      </w:r>
    </w:p>
    <w:p>
      <w:pPr>
        <w:spacing w:line="560" w:lineRule="exact"/>
        <w:ind w:firstLine="602"/>
        <w:rPr>
          <w:color w:val="auto"/>
        </w:rPr>
      </w:pPr>
      <w:r>
        <w:rPr>
          <w:rFonts w:hint="eastAsia"/>
          <w:b/>
          <w:bCs/>
          <w:color w:val="auto"/>
        </w:rPr>
        <w:t>加强就近基本养老服务供给。</w:t>
      </w:r>
      <w:r>
        <w:rPr>
          <w:rFonts w:hint="eastAsia"/>
          <w:color w:val="auto"/>
        </w:rPr>
        <w:t>坚持就近原则，完善“十五分钟服务圈”服务供给，</w:t>
      </w:r>
      <w:r>
        <w:rPr>
          <w:rFonts w:hint="eastAsia" w:cs="Yu Mincho"/>
          <w:color w:val="auto"/>
        </w:rPr>
        <w:t>推动养老机构将服务逐步延伸至居家社区，</w:t>
      </w:r>
      <w:r>
        <w:rPr>
          <w:rFonts w:hint="eastAsia"/>
          <w:color w:val="auto"/>
        </w:rPr>
        <w:t>逐步提高社区助餐、助洁、助浴、助行服务覆盖率，</w:t>
      </w:r>
      <w:r>
        <w:rPr>
          <w:rFonts w:hint="eastAsia" w:cs="Yu Mincho"/>
          <w:color w:val="auto"/>
        </w:rPr>
        <w:t>为家庭养老提供有力支撑。养老服务用地要像教育用地一样低成本划拨，保障基本养老服务供给。</w:t>
      </w:r>
    </w:p>
    <w:p>
      <w:pPr>
        <w:pStyle w:val="3"/>
        <w:spacing w:before="205" w:after="205" w:line="560" w:lineRule="exact"/>
        <w:rPr>
          <w:color w:val="auto"/>
        </w:rPr>
      </w:pPr>
      <w:bookmarkStart w:id="275" w:name="_Toc156"/>
      <w:bookmarkStart w:id="276" w:name="_Toc14760"/>
      <w:bookmarkStart w:id="277" w:name="_Toc11166"/>
      <w:bookmarkStart w:id="278" w:name="_Toc29562"/>
      <w:bookmarkStart w:id="279" w:name="_Toc27117"/>
      <w:bookmarkStart w:id="280" w:name="_Toc211631579"/>
      <w:r>
        <w:rPr>
          <w:rFonts w:hint="eastAsia"/>
          <w:color w:val="auto"/>
        </w:rPr>
        <w:t>第四节 提高医养结合能力</w:t>
      </w:r>
      <w:bookmarkEnd w:id="275"/>
      <w:bookmarkEnd w:id="276"/>
      <w:bookmarkEnd w:id="277"/>
      <w:bookmarkEnd w:id="278"/>
      <w:bookmarkEnd w:id="279"/>
      <w:bookmarkEnd w:id="280"/>
    </w:p>
    <w:p>
      <w:pPr>
        <w:pStyle w:val="4"/>
        <w:spacing w:before="205" w:after="205" w:line="560" w:lineRule="exact"/>
        <w:rPr>
          <w:color w:val="auto"/>
        </w:rPr>
      </w:pPr>
      <w:bookmarkStart w:id="281" w:name="_Hlk15489214"/>
      <w:bookmarkStart w:id="282" w:name="_Hlk15489560"/>
      <w:r>
        <w:rPr>
          <w:rFonts w:hint="eastAsia"/>
          <w:color w:val="auto"/>
        </w:rPr>
        <w:t>第</w:t>
      </w:r>
      <w:r>
        <w:rPr>
          <w:rFonts w:hint="eastAsia"/>
          <w:color w:val="auto"/>
          <w:lang w:val="en-US" w:eastAsia="zh-CN"/>
        </w:rPr>
        <w:t>4</w:t>
      </w:r>
      <w:r>
        <w:rPr>
          <w:rFonts w:hint="eastAsia"/>
          <w:color w:val="auto"/>
        </w:rPr>
        <w:t>3条 提高医养结合服务能力</w:t>
      </w:r>
    </w:p>
    <w:p>
      <w:pPr>
        <w:spacing w:line="560" w:lineRule="exact"/>
        <w:ind w:firstLine="600"/>
        <w:rPr>
          <w:color w:val="auto"/>
        </w:rPr>
      </w:pPr>
      <w:r>
        <w:rPr>
          <w:rFonts w:hint="eastAsia"/>
          <w:color w:val="auto"/>
        </w:rPr>
        <w:t>优化医养结合机构设立流程，涉及同层级行政部门的，实现“一个窗口”办理。医疗机构利用现有资源提供养老服务的，建设、消防等标准条件依据医疗机构已具备的资质直接予以认可。完善</w:t>
      </w:r>
      <w:r>
        <w:rPr>
          <w:rFonts w:hint="eastAsia"/>
          <w:color w:val="auto"/>
          <w:lang w:eastAsia="zh-CN"/>
        </w:rPr>
        <w:t>对</w:t>
      </w:r>
      <w:r>
        <w:rPr>
          <w:rFonts w:hint="eastAsia"/>
          <w:color w:val="auto"/>
        </w:rPr>
        <w:t>社会办护理中心（站）和安宁疗护机构扶持政策。加强老年</w:t>
      </w:r>
      <w:r>
        <w:rPr>
          <w:rFonts w:hint="eastAsia"/>
          <w:color w:val="auto"/>
          <w:lang w:eastAsia="zh-CN"/>
        </w:rPr>
        <w:t>人</w:t>
      </w:r>
      <w:r>
        <w:rPr>
          <w:rFonts w:hint="eastAsia"/>
          <w:color w:val="auto"/>
        </w:rPr>
        <w:t>疾病防治、诊治、康复和护理体系建设，建立稳定高效的转介机制和健康支持体系。建立养老机构医疗服务托管制度，对于</w:t>
      </w:r>
      <w:r>
        <w:rPr>
          <w:color w:val="auto"/>
        </w:rPr>
        <w:t>50张以上床位机构，由所在地具备条件的医疗机构提供医疗服务。开展农村远程医疗支持试点。</w:t>
      </w:r>
      <w:r>
        <w:rPr>
          <w:rFonts w:hint="eastAsia"/>
          <w:color w:val="auto"/>
        </w:rPr>
        <w:t>除首都功能核心区、中心城区以外的区，在制定乡镇国土空间规划以及街区控制性详细规划过程中，在规划医疗设施时，应充分考虑在周边配建养老设施。</w:t>
      </w:r>
    </w:p>
    <w:p>
      <w:pPr>
        <w:pStyle w:val="4"/>
        <w:spacing w:before="205" w:after="205" w:line="560" w:lineRule="exact"/>
        <w:rPr>
          <w:color w:val="auto"/>
        </w:rPr>
      </w:pPr>
      <w:r>
        <w:rPr>
          <w:rFonts w:hint="eastAsia"/>
          <w:color w:val="auto"/>
        </w:rPr>
        <w:t>第</w:t>
      </w:r>
      <w:r>
        <w:rPr>
          <w:rFonts w:hint="eastAsia"/>
          <w:color w:val="auto"/>
          <w:lang w:val="en-US" w:eastAsia="zh-CN"/>
        </w:rPr>
        <w:t>4</w:t>
      </w:r>
      <w:r>
        <w:rPr>
          <w:rFonts w:hint="eastAsia"/>
          <w:color w:val="auto"/>
        </w:rPr>
        <w:t>4条 加强老年人健康管理</w:t>
      </w:r>
    </w:p>
    <w:p>
      <w:pPr>
        <w:spacing w:line="560" w:lineRule="exact"/>
        <w:ind w:firstLine="600"/>
        <w:rPr>
          <w:color w:val="auto"/>
        </w:rPr>
      </w:pPr>
      <w:r>
        <w:rPr>
          <w:rFonts w:hint="eastAsia"/>
          <w:color w:val="auto"/>
        </w:rPr>
        <w:t>到</w:t>
      </w:r>
      <w:r>
        <w:rPr>
          <w:color w:val="auto"/>
        </w:rPr>
        <w:t>2022年</w:t>
      </w:r>
      <w:r>
        <w:rPr>
          <w:rFonts w:hint="eastAsia"/>
          <w:color w:val="auto"/>
        </w:rPr>
        <w:t>，</w:t>
      </w:r>
      <w:r>
        <w:rPr>
          <w:color w:val="auto"/>
        </w:rPr>
        <w:t>养老机构和协议合作的医疗卫生机构普遍开通双向转介绿色通道。</w:t>
      </w:r>
      <w:r>
        <w:rPr>
          <w:rFonts w:hint="eastAsia"/>
          <w:color w:val="auto"/>
        </w:rPr>
        <w:t>可</w:t>
      </w:r>
      <w:r>
        <w:rPr>
          <w:color w:val="auto"/>
        </w:rPr>
        <w:t>通过行政划拨</w:t>
      </w:r>
      <w:r>
        <w:rPr>
          <w:rFonts w:hint="eastAsia"/>
          <w:color w:val="auto"/>
        </w:rPr>
        <w:t>土</w:t>
      </w:r>
      <w:r>
        <w:rPr>
          <w:color w:val="auto"/>
        </w:rPr>
        <w:t>地等优惠措施鼓励社会力量</w:t>
      </w:r>
      <w:r>
        <w:rPr>
          <w:rFonts w:hint="eastAsia"/>
          <w:color w:val="auto"/>
        </w:rPr>
        <w:t>兴</w:t>
      </w:r>
      <w:r>
        <w:rPr>
          <w:color w:val="auto"/>
        </w:rPr>
        <w:t>办</w:t>
      </w:r>
      <w:r>
        <w:rPr>
          <w:rFonts w:hint="eastAsia"/>
          <w:color w:val="auto"/>
        </w:rPr>
        <w:t>公益性</w:t>
      </w:r>
      <w:r>
        <w:rPr>
          <w:color w:val="auto"/>
        </w:rPr>
        <w:t>养老服务机构，鼓励养老服务驿站提供居家养老健康服务。完善社区全科医生团队上门服务制度，鼓励执业医师到养老机构设置的医疗机构多点执业。积极推动中医药与养老服务相结合</w:t>
      </w:r>
      <w:r>
        <w:rPr>
          <w:rFonts w:hint="eastAsia"/>
          <w:color w:val="auto"/>
        </w:rPr>
        <w:t>，</w:t>
      </w:r>
      <w:r>
        <w:rPr>
          <w:color w:val="auto"/>
        </w:rPr>
        <w:t>推动社区开展慢病管理、个性化健康管理。</w:t>
      </w:r>
      <w:r>
        <w:rPr>
          <w:rFonts w:hint="eastAsia" w:cs="Yu Mincho"/>
          <w:color w:val="auto"/>
        </w:rPr>
        <w:t>到</w:t>
      </w:r>
      <w:r>
        <w:rPr>
          <w:color w:val="auto"/>
        </w:rPr>
        <w:t>2035</w:t>
      </w:r>
      <w:r>
        <w:rPr>
          <w:rFonts w:cs="Yu Mincho"/>
          <w:color w:val="auto"/>
        </w:rPr>
        <w:t>年</w:t>
      </w:r>
      <w:r>
        <w:rPr>
          <w:rFonts w:hint="eastAsia" w:cs="Yu Mincho"/>
          <w:color w:val="auto"/>
        </w:rPr>
        <w:t>，</w:t>
      </w:r>
      <w:r>
        <w:rPr>
          <w:rFonts w:cs="Yu Mincho"/>
          <w:color w:val="auto"/>
        </w:rPr>
        <w:t>所有医</w:t>
      </w:r>
      <w:r>
        <w:rPr>
          <w:rFonts w:hint="eastAsia" w:cs="Yu Mincho"/>
          <w:color w:val="auto"/>
        </w:rPr>
        <w:t>疗机构开设为老年</w:t>
      </w:r>
      <w:r>
        <w:rPr>
          <w:rFonts w:cs="Yu Mincho"/>
          <w:color w:val="auto"/>
        </w:rPr>
        <w:t>人提供挂号、就医等便利服</w:t>
      </w:r>
      <w:r>
        <w:rPr>
          <w:rFonts w:hint="eastAsia" w:cs="Yu Mincho"/>
          <w:color w:val="auto"/>
        </w:rPr>
        <w:t>务的绿色通道，所有养老机构能够以不同形式为入住老年人提供医疗卫生服务。</w:t>
      </w:r>
    </w:p>
    <w:p>
      <w:pPr>
        <w:pStyle w:val="3"/>
        <w:spacing w:before="205" w:after="205" w:line="560" w:lineRule="exact"/>
        <w:rPr>
          <w:color w:val="auto"/>
        </w:rPr>
      </w:pPr>
      <w:bookmarkStart w:id="283" w:name="_Toc11472"/>
      <w:bookmarkStart w:id="284" w:name="_Toc916600278"/>
      <w:bookmarkStart w:id="285" w:name="_Toc8963"/>
      <w:bookmarkStart w:id="286" w:name="_Toc14396"/>
      <w:bookmarkStart w:id="287" w:name="_Toc21254"/>
      <w:bookmarkStart w:id="288" w:name="_Toc14202"/>
      <w:r>
        <w:rPr>
          <w:rFonts w:hint="eastAsia"/>
          <w:color w:val="auto"/>
        </w:rPr>
        <w:t>第五节 完善老残儿一体化体系</w:t>
      </w:r>
      <w:bookmarkEnd w:id="283"/>
      <w:bookmarkEnd w:id="284"/>
      <w:bookmarkEnd w:id="285"/>
      <w:bookmarkEnd w:id="286"/>
      <w:bookmarkEnd w:id="287"/>
      <w:bookmarkEnd w:id="288"/>
    </w:p>
    <w:p>
      <w:pPr>
        <w:pStyle w:val="4"/>
        <w:spacing w:before="205" w:after="205" w:line="560" w:lineRule="exact"/>
        <w:rPr>
          <w:color w:val="auto"/>
        </w:rPr>
      </w:pPr>
      <w:r>
        <w:rPr>
          <w:rFonts w:hint="eastAsia"/>
          <w:color w:val="auto"/>
        </w:rPr>
        <w:t>第</w:t>
      </w:r>
      <w:r>
        <w:rPr>
          <w:rFonts w:hint="eastAsia"/>
          <w:color w:val="auto"/>
          <w:lang w:val="en-US" w:eastAsia="zh-CN"/>
        </w:rPr>
        <w:t>4</w:t>
      </w:r>
      <w:r>
        <w:rPr>
          <w:rFonts w:hint="eastAsia"/>
          <w:color w:val="auto"/>
        </w:rPr>
        <w:t xml:space="preserve">5条 </w:t>
      </w:r>
      <w:r>
        <w:rPr>
          <w:color w:val="auto"/>
        </w:rPr>
        <w:t>加强对</w:t>
      </w:r>
      <w:r>
        <w:rPr>
          <w:rFonts w:hint="eastAsia"/>
          <w:color w:val="auto"/>
          <w:lang w:eastAsia="zh-CN"/>
        </w:rPr>
        <w:t>未成年人的关爱保护</w:t>
      </w:r>
      <w:r>
        <w:rPr>
          <w:color w:val="auto"/>
        </w:rPr>
        <w:t>和残疾人的服务保障</w:t>
      </w:r>
    </w:p>
    <w:p>
      <w:pPr>
        <w:spacing w:line="560" w:lineRule="exact"/>
        <w:ind w:firstLine="600"/>
        <w:rPr>
          <w:rFonts w:cs="Times New Roman"/>
          <w:color w:val="auto"/>
        </w:rPr>
      </w:pPr>
      <w:r>
        <w:rPr>
          <w:rFonts w:hint="eastAsia" w:cs="Times New Roman"/>
          <w:color w:val="auto"/>
        </w:rPr>
        <w:t>优化提升现有市、区属儿童福利院功能，加快推进北京市第三儿童福利院建设，按需求推进区级儿童福利机构建设。以《综合社会福利院建设标准》（建标</w:t>
      </w:r>
      <w:r>
        <w:rPr>
          <w:rFonts w:cs="Times New Roman"/>
          <w:color w:val="auto"/>
          <w:szCs w:val="30"/>
        </w:rPr>
        <w:t>〔</w:t>
      </w:r>
      <w:r>
        <w:rPr>
          <w:rFonts w:hint="eastAsia" w:cs="Times New Roman"/>
          <w:color w:val="auto"/>
        </w:rPr>
        <w:t>2016</w:t>
      </w:r>
      <w:r>
        <w:rPr>
          <w:rFonts w:cs="Times New Roman"/>
          <w:color w:val="auto"/>
          <w:szCs w:val="30"/>
        </w:rPr>
        <w:t>〕</w:t>
      </w:r>
      <w:r>
        <w:rPr>
          <w:rFonts w:hint="eastAsia" w:cs="Times New Roman"/>
          <w:color w:val="auto"/>
        </w:rPr>
        <w:t>296号）等文件为标准，建设面向辖区内孤儿和城市特困人员的综合社会福利设施。</w:t>
      </w:r>
      <w:r>
        <w:rPr>
          <w:rFonts w:cs="Times New Roman"/>
          <w:color w:val="auto"/>
        </w:rPr>
        <w:t>结合社区养老服务驿站建设，</w:t>
      </w:r>
      <w:r>
        <w:rPr>
          <w:rFonts w:hint="eastAsia" w:cs="Times New Roman"/>
          <w:color w:val="auto"/>
        </w:rPr>
        <w:t>对符合条件的设施场地同步</w:t>
      </w:r>
      <w:r>
        <w:rPr>
          <w:rFonts w:cs="Times New Roman"/>
          <w:color w:val="auto"/>
        </w:rPr>
        <w:t>配置儿童之家。</w:t>
      </w:r>
      <w:r>
        <w:rPr>
          <w:rFonts w:hint="eastAsia" w:cs="Times New Roman"/>
          <w:color w:val="auto"/>
        </w:rPr>
        <w:t>依托儿童福利机构，建设未成年人救助保护设施,统筹实现儿童救助保护和福利安置等综合保障功能，着力推进儿童救助保护、生活照料、教育支持、医疗康复、社会工作等的一体化发展。</w:t>
      </w:r>
      <w:r>
        <w:rPr>
          <w:rFonts w:cs="Times New Roman"/>
          <w:color w:val="auto"/>
        </w:rPr>
        <w:t>完善提升市</w:t>
      </w:r>
      <w:r>
        <w:rPr>
          <w:rFonts w:hint="eastAsia" w:cs="Times New Roman"/>
          <w:color w:val="auto"/>
        </w:rPr>
        <w:t>、</w:t>
      </w:r>
      <w:r>
        <w:rPr>
          <w:rFonts w:cs="Times New Roman"/>
          <w:color w:val="auto"/>
        </w:rPr>
        <w:t>区级残疾人福利设施服务功能，加强残疾人</w:t>
      </w:r>
      <w:r>
        <w:rPr>
          <w:rFonts w:hint="eastAsia" w:cs="Times New Roman"/>
          <w:color w:val="auto"/>
        </w:rPr>
        <w:t>托养所</w:t>
      </w:r>
      <w:r>
        <w:rPr>
          <w:rFonts w:cs="Times New Roman"/>
          <w:color w:val="auto"/>
        </w:rPr>
        <w:t>、</w:t>
      </w:r>
      <w:r>
        <w:rPr>
          <w:rFonts w:hint="eastAsia" w:cs="Times New Roman"/>
          <w:color w:val="auto"/>
        </w:rPr>
        <w:t>康复中心、</w:t>
      </w:r>
      <w:r>
        <w:rPr>
          <w:rFonts w:cs="Times New Roman"/>
          <w:color w:val="auto"/>
        </w:rPr>
        <w:t>社区助残服务中心建设。全面推行康复辅助器具研发、生产、租售及其理念与文化的宣传，引导残障人员积极融入社会生活。</w:t>
      </w:r>
    </w:p>
    <w:p>
      <w:pPr>
        <w:pStyle w:val="4"/>
        <w:spacing w:before="205" w:after="205" w:line="560" w:lineRule="exact"/>
        <w:rPr>
          <w:color w:val="auto"/>
        </w:rPr>
      </w:pPr>
      <w:r>
        <w:rPr>
          <w:rFonts w:hint="eastAsia"/>
          <w:color w:val="auto"/>
        </w:rPr>
        <w:t>第</w:t>
      </w:r>
      <w:r>
        <w:rPr>
          <w:rFonts w:hint="eastAsia"/>
          <w:color w:val="auto"/>
          <w:lang w:val="en-US" w:eastAsia="zh-CN"/>
        </w:rPr>
        <w:t>4</w:t>
      </w:r>
      <w:r>
        <w:rPr>
          <w:rFonts w:hint="eastAsia"/>
          <w:color w:val="auto"/>
        </w:rPr>
        <w:t>6条 加强民政公共服务基础设施建设</w:t>
      </w:r>
    </w:p>
    <w:p>
      <w:pPr>
        <w:spacing w:line="560" w:lineRule="exact"/>
        <w:ind w:firstLine="600"/>
        <w:rPr>
          <w:rFonts w:cs="Times New Roman"/>
          <w:color w:val="auto"/>
        </w:rPr>
      </w:pPr>
      <w:r>
        <w:rPr>
          <w:rFonts w:hint="eastAsia" w:cs="Times New Roman"/>
          <w:color w:val="auto"/>
        </w:rPr>
        <w:t>60岁以下重度残疾人纳入养老机构托养，</w:t>
      </w:r>
      <w:r>
        <w:rPr>
          <w:rFonts w:cs="Times New Roman"/>
          <w:color w:val="auto"/>
        </w:rPr>
        <w:t>鼓励</w:t>
      </w:r>
      <w:r>
        <w:rPr>
          <w:rFonts w:hint="eastAsia" w:cs="Times New Roman"/>
          <w:color w:val="auto"/>
        </w:rPr>
        <w:t>残疾人托养所与机构养老服务设施合并设置，安排床位及训练、康复预科、门诊等设施</w:t>
      </w:r>
      <w:r>
        <w:rPr>
          <w:rFonts w:cs="Times New Roman"/>
          <w:color w:val="auto"/>
        </w:rPr>
        <w:t>，提高设施使用效率</w:t>
      </w:r>
      <w:r>
        <w:rPr>
          <w:rFonts w:hint="eastAsia" w:cs="Times New Roman"/>
          <w:color w:val="auto"/>
        </w:rPr>
        <w:t>。依据《北京市居住公共服务设施配置指标》《北京市居住公共服务设施配置指标实施意见》</w:t>
      </w:r>
      <w:r>
        <w:rPr>
          <w:rFonts w:cs="Times New Roman"/>
          <w:color w:val="auto"/>
        </w:rPr>
        <w:t>(京政发〔2015〕7号)保障每个街乡镇设置一处社区助残服务中心。</w:t>
      </w:r>
      <w:r>
        <w:rPr>
          <w:color w:val="auto"/>
        </w:rPr>
        <w:t>小区配</w:t>
      </w:r>
      <w:r>
        <w:rPr>
          <w:rFonts w:hint="eastAsia" w:cs="Yu Mincho"/>
          <w:color w:val="auto"/>
          <w:szCs w:val="30"/>
        </w:rPr>
        <w:t>建</w:t>
      </w:r>
      <w:r>
        <w:rPr>
          <w:color w:val="auto"/>
        </w:rPr>
        <w:t>的养老服务设施、残疾人服务设施</w:t>
      </w:r>
      <w:r>
        <w:rPr>
          <w:rFonts w:hint="eastAsia"/>
          <w:color w:val="auto"/>
        </w:rPr>
        <w:t>均</w:t>
      </w:r>
      <w:r>
        <w:rPr>
          <w:color w:val="auto"/>
        </w:rPr>
        <w:t>由</w:t>
      </w:r>
      <w:r>
        <w:rPr>
          <w:rFonts w:hint="eastAsia"/>
          <w:color w:val="auto"/>
        </w:rPr>
        <w:t>街道</w:t>
      </w:r>
      <w:r>
        <w:rPr>
          <w:color w:val="auto"/>
        </w:rPr>
        <w:t>民政部门验收规范和管理使用</w:t>
      </w:r>
      <w:r>
        <w:rPr>
          <w:rFonts w:hint="eastAsia"/>
          <w:color w:val="auto"/>
        </w:rPr>
        <w:t>。</w:t>
      </w:r>
    </w:p>
    <w:p>
      <w:pPr>
        <w:pStyle w:val="4"/>
        <w:spacing w:before="205" w:after="205" w:line="560" w:lineRule="exact"/>
        <w:rPr>
          <w:color w:val="auto"/>
        </w:rPr>
      </w:pPr>
      <w:r>
        <w:rPr>
          <w:rFonts w:hint="eastAsia"/>
          <w:color w:val="auto"/>
        </w:rPr>
        <w:t>第</w:t>
      </w:r>
      <w:r>
        <w:rPr>
          <w:rFonts w:hint="eastAsia"/>
          <w:color w:val="auto"/>
          <w:lang w:val="en-US" w:eastAsia="zh-CN"/>
        </w:rPr>
        <w:t>4</w:t>
      </w:r>
      <w:r>
        <w:rPr>
          <w:rFonts w:hint="eastAsia"/>
          <w:color w:val="auto"/>
        </w:rPr>
        <w:t>7条 统筹市属老残儿福利机构</w:t>
      </w:r>
    </w:p>
    <w:p>
      <w:pPr>
        <w:spacing w:line="560" w:lineRule="exact"/>
        <w:ind w:firstLine="600"/>
        <w:rPr>
          <w:rFonts w:cs="Times New Roman"/>
          <w:color w:val="auto"/>
        </w:rPr>
      </w:pPr>
      <w:r>
        <w:rPr>
          <w:rFonts w:hint="eastAsia" w:cs="Times New Roman"/>
          <w:color w:val="auto"/>
        </w:rPr>
        <w:t>加强对</w:t>
      </w:r>
      <w:r>
        <w:rPr>
          <w:rFonts w:hint="eastAsia" w:cs="Times New Roman"/>
          <w:color w:val="auto"/>
          <w:lang w:eastAsia="zh-CN"/>
        </w:rPr>
        <w:t>未成年人的关爱保护</w:t>
      </w:r>
      <w:r>
        <w:rPr>
          <w:rFonts w:hint="eastAsia" w:cs="Times New Roman"/>
          <w:color w:val="auto"/>
        </w:rPr>
        <w:t>和残疾人的服务保障，坚持老残儿一体化减量发展原则，统筹市级残疾人康复疗养机构、儿童福利机构和未成年人保护机构。提升扩充现有</w:t>
      </w:r>
      <w:r>
        <w:rPr>
          <w:rFonts w:cs="Times New Roman"/>
          <w:color w:val="auto"/>
        </w:rPr>
        <w:t>3家市属儿童福利院，鼓励儿童福利设施和残疾人福利设施与养老服务设施复合设置，共享部分服务功能，提高设施使用效率。</w:t>
      </w:r>
    </w:p>
    <w:p>
      <w:pPr>
        <w:widowControl/>
        <w:spacing w:line="560" w:lineRule="exact"/>
        <w:ind w:firstLine="0" w:firstLineChars="0"/>
        <w:jc w:val="left"/>
        <w:rPr>
          <w:rFonts w:cs="Times New Roman"/>
          <w:color w:val="auto"/>
        </w:rPr>
      </w:pPr>
    </w:p>
    <w:p>
      <w:pPr>
        <w:widowControl/>
        <w:spacing w:line="560" w:lineRule="exact"/>
        <w:ind w:firstLine="0" w:firstLineChars="0"/>
        <w:jc w:val="left"/>
        <w:rPr>
          <w:rFonts w:cs="Times New Roman"/>
          <w:color w:val="auto"/>
        </w:rPr>
      </w:pPr>
    </w:p>
    <w:p>
      <w:pPr>
        <w:widowControl/>
        <w:spacing w:line="560" w:lineRule="exact"/>
        <w:ind w:firstLine="0" w:firstLineChars="0"/>
        <w:jc w:val="left"/>
        <w:rPr>
          <w:rFonts w:cs="Times New Roman"/>
          <w:color w:val="auto"/>
        </w:rPr>
      </w:pPr>
    </w:p>
    <w:p>
      <w:pPr>
        <w:widowControl/>
        <w:spacing w:line="560" w:lineRule="exact"/>
        <w:ind w:firstLine="0" w:firstLineChars="0"/>
        <w:jc w:val="left"/>
        <w:rPr>
          <w:rFonts w:cs="Times New Roman"/>
          <w:color w:val="auto"/>
        </w:rPr>
      </w:pPr>
    </w:p>
    <w:p>
      <w:pPr>
        <w:widowControl/>
        <w:spacing w:line="560" w:lineRule="exact"/>
        <w:ind w:firstLine="0" w:firstLineChars="0"/>
        <w:jc w:val="left"/>
        <w:rPr>
          <w:rFonts w:cs="Times New Roman"/>
          <w:color w:val="auto"/>
        </w:rPr>
      </w:pPr>
    </w:p>
    <w:p>
      <w:pPr>
        <w:widowControl/>
        <w:spacing w:line="560" w:lineRule="exact"/>
        <w:ind w:firstLine="0" w:firstLineChars="0"/>
        <w:jc w:val="left"/>
        <w:rPr>
          <w:rFonts w:cs="Times New Roman"/>
          <w:color w:val="auto"/>
        </w:rPr>
      </w:pPr>
    </w:p>
    <w:bookmarkEnd w:id="281"/>
    <w:bookmarkEnd w:id="282"/>
    <w:p>
      <w:pPr>
        <w:pStyle w:val="2"/>
        <w:spacing w:after="411" w:line="560" w:lineRule="exact"/>
        <w:rPr>
          <w:color w:val="auto"/>
        </w:rPr>
      </w:pPr>
      <w:bookmarkStart w:id="289" w:name="_Toc1678682933"/>
      <w:bookmarkStart w:id="290" w:name="_Toc31733"/>
      <w:bookmarkStart w:id="291" w:name="_Toc40085562"/>
      <w:bookmarkStart w:id="292" w:name="_Toc5009"/>
      <w:bookmarkStart w:id="293" w:name="_Toc21839"/>
      <w:bookmarkStart w:id="294" w:name="_Toc21"/>
      <w:bookmarkStart w:id="295" w:name="_Toc15289"/>
      <w:r>
        <w:rPr>
          <w:rFonts w:hint="eastAsia"/>
          <w:color w:val="auto"/>
        </w:rPr>
        <w:t>第四章 创新养老服务体系结构</w:t>
      </w:r>
      <w:bookmarkEnd w:id="289"/>
      <w:bookmarkEnd w:id="290"/>
      <w:bookmarkEnd w:id="291"/>
      <w:bookmarkEnd w:id="292"/>
      <w:bookmarkEnd w:id="293"/>
      <w:bookmarkEnd w:id="294"/>
      <w:bookmarkEnd w:id="295"/>
    </w:p>
    <w:p>
      <w:pPr>
        <w:pStyle w:val="3"/>
        <w:spacing w:before="205" w:after="205" w:line="560" w:lineRule="exact"/>
        <w:rPr>
          <w:color w:val="auto"/>
        </w:rPr>
      </w:pPr>
      <w:bookmarkStart w:id="296" w:name="_Toc13063"/>
      <w:bookmarkStart w:id="297" w:name="_Toc18781"/>
      <w:bookmarkStart w:id="298" w:name="_Toc7464"/>
      <w:bookmarkStart w:id="299" w:name="_Toc28729"/>
      <w:bookmarkStart w:id="300" w:name="_Toc1200289862"/>
      <w:bookmarkStart w:id="301" w:name="_Toc16997"/>
      <w:r>
        <w:rPr>
          <w:rFonts w:hint="eastAsia"/>
          <w:color w:val="auto"/>
        </w:rPr>
        <w:t>第一节 优化养老服务供给</w:t>
      </w:r>
      <w:bookmarkEnd w:id="296"/>
      <w:bookmarkEnd w:id="297"/>
      <w:bookmarkEnd w:id="298"/>
      <w:bookmarkEnd w:id="299"/>
      <w:bookmarkEnd w:id="300"/>
      <w:bookmarkEnd w:id="301"/>
    </w:p>
    <w:p>
      <w:pPr>
        <w:pStyle w:val="4"/>
        <w:spacing w:before="205" w:after="205" w:line="560" w:lineRule="exact"/>
        <w:rPr>
          <w:color w:val="auto"/>
        </w:rPr>
      </w:pPr>
      <w:r>
        <w:rPr>
          <w:color w:val="auto"/>
        </w:rPr>
        <w:t>第</w:t>
      </w:r>
      <w:r>
        <w:rPr>
          <w:rFonts w:hint="eastAsia"/>
          <w:color w:val="auto"/>
          <w:lang w:val="en-US" w:eastAsia="zh-CN"/>
        </w:rPr>
        <w:t>4</w:t>
      </w:r>
      <w:r>
        <w:rPr>
          <w:rFonts w:hint="eastAsia"/>
          <w:color w:val="auto"/>
        </w:rPr>
        <w:t>8</w:t>
      </w:r>
      <w:r>
        <w:rPr>
          <w:color w:val="auto"/>
        </w:rPr>
        <w:t>条</w:t>
      </w:r>
      <w:r>
        <w:rPr>
          <w:rFonts w:hint="eastAsia"/>
          <w:color w:val="auto"/>
        </w:rPr>
        <w:t xml:space="preserve"> 建设养老家庭照护床位</w:t>
      </w:r>
    </w:p>
    <w:p>
      <w:pPr>
        <w:spacing w:line="560" w:lineRule="exact"/>
        <w:ind w:firstLine="602"/>
        <w:rPr>
          <w:color w:val="auto"/>
        </w:rPr>
      </w:pPr>
      <w:r>
        <w:rPr>
          <w:rFonts w:hint="eastAsia"/>
          <w:b/>
          <w:bCs/>
          <w:color w:val="auto"/>
        </w:rPr>
        <w:t>增设养老家庭照护床位。</w:t>
      </w:r>
      <w:r>
        <w:rPr>
          <w:color w:val="auto"/>
        </w:rPr>
        <w:t>以社区</w:t>
      </w:r>
      <w:r>
        <w:rPr>
          <w:rFonts w:hint="eastAsia"/>
          <w:color w:val="auto"/>
        </w:rPr>
        <w:t>就近</w:t>
      </w:r>
      <w:r>
        <w:rPr>
          <w:color w:val="auto"/>
        </w:rPr>
        <w:t>养老服务为基点，支持养老</w:t>
      </w:r>
      <w:r>
        <w:rPr>
          <w:rFonts w:hint="eastAsia"/>
          <w:color w:val="auto"/>
        </w:rPr>
        <w:t>服务</w:t>
      </w:r>
      <w:r>
        <w:rPr>
          <w:color w:val="auto"/>
        </w:rPr>
        <w:t>机构发挥溢出效应，在有能力的情况下积极向社区开放</w:t>
      </w:r>
      <w:r>
        <w:rPr>
          <w:rFonts w:hint="eastAsia"/>
          <w:color w:val="auto"/>
        </w:rPr>
        <w:t>，向失能老年人家庭延伸</w:t>
      </w:r>
      <w:r>
        <w:rPr>
          <w:color w:val="auto"/>
        </w:rPr>
        <w:t>。公办养老机构要率先为老年人提供居家上门、康复护理、生活照料</w:t>
      </w:r>
      <w:r>
        <w:rPr>
          <w:rFonts w:hint="eastAsia"/>
          <w:color w:val="auto"/>
        </w:rPr>
        <w:t>、临终关怀</w:t>
      </w:r>
      <w:r>
        <w:rPr>
          <w:color w:val="auto"/>
        </w:rPr>
        <w:t>等养老服务。社区养老服务设施释放辐射效应，将专业服务延伸到家庭，提升助浴、助洁等居家养老服务项目水平。202</w:t>
      </w:r>
      <w:r>
        <w:rPr>
          <w:rFonts w:hint="eastAsia"/>
          <w:color w:val="auto"/>
        </w:rPr>
        <w:t>5</w:t>
      </w:r>
      <w:r>
        <w:rPr>
          <w:color w:val="auto"/>
        </w:rPr>
        <w:t>年，</w:t>
      </w:r>
      <w:r>
        <w:rPr>
          <w:rFonts w:hint="eastAsia"/>
          <w:color w:val="auto"/>
        </w:rPr>
        <w:t>养老</w:t>
      </w:r>
      <w:r>
        <w:rPr>
          <w:color w:val="auto"/>
        </w:rPr>
        <w:t>家庭照护床位达到1万张</w:t>
      </w:r>
      <w:r>
        <w:rPr>
          <w:rFonts w:hint="eastAsia"/>
          <w:color w:val="auto"/>
        </w:rPr>
        <w:t>，2035年，养老家庭照护床位数量达到1.5万张。</w:t>
      </w:r>
    </w:p>
    <w:p>
      <w:pPr>
        <w:spacing w:line="560" w:lineRule="exact"/>
        <w:ind w:firstLine="602"/>
        <w:rPr>
          <w:color w:val="auto"/>
        </w:rPr>
      </w:pPr>
      <w:r>
        <w:rPr>
          <w:rFonts w:hint="eastAsia"/>
          <w:b/>
          <w:bCs/>
          <w:color w:val="auto"/>
        </w:rPr>
        <w:t>推进居家适老改造工程。</w:t>
      </w:r>
      <w:r>
        <w:rPr>
          <w:rFonts w:hint="eastAsia"/>
          <w:color w:val="auto"/>
        </w:rPr>
        <w:t>聚焦</w:t>
      </w:r>
      <w:r>
        <w:rPr>
          <w:color w:val="auto"/>
        </w:rPr>
        <w:t>有需求的</w:t>
      </w:r>
      <w:r>
        <w:rPr>
          <w:rFonts w:hint="eastAsia"/>
          <w:color w:val="auto"/>
        </w:rPr>
        <w:t>轻度、中度</w:t>
      </w:r>
      <w:r>
        <w:rPr>
          <w:color w:val="auto"/>
        </w:rPr>
        <w:t>失能老年人，加快推进老旧居住小区和老年人家庭的无障碍改造，</w:t>
      </w:r>
      <w:r>
        <w:rPr>
          <w:rFonts w:hint="eastAsia"/>
          <w:color w:val="auto"/>
        </w:rPr>
        <w:t>重点是加装电梯，为居家养老创造有利条件。以及对</w:t>
      </w:r>
      <w:r>
        <w:rPr>
          <w:color w:val="auto"/>
        </w:rPr>
        <w:t>通道、居室、卫生间等住房内的适老化改造，缓解老年人因生理机能变化导致的不适应，增强老年人居家生活的安全性、便利性和科学性。</w:t>
      </w:r>
      <w:r>
        <w:rPr>
          <w:rFonts w:hint="eastAsia"/>
          <w:color w:val="auto"/>
        </w:rPr>
        <w:t>至</w:t>
      </w:r>
      <w:r>
        <w:rPr>
          <w:color w:val="auto"/>
        </w:rPr>
        <w:t>202</w:t>
      </w:r>
      <w:r>
        <w:rPr>
          <w:rFonts w:hint="eastAsia"/>
          <w:color w:val="auto"/>
        </w:rPr>
        <w:t>5</w:t>
      </w:r>
      <w:r>
        <w:rPr>
          <w:color w:val="auto"/>
        </w:rPr>
        <w:t>年前，全市</w:t>
      </w:r>
      <w:r>
        <w:rPr>
          <w:rFonts w:hint="eastAsia"/>
          <w:color w:val="auto"/>
        </w:rPr>
        <w:t>完成</w:t>
      </w:r>
      <w:r>
        <w:rPr>
          <w:color w:val="auto"/>
        </w:rPr>
        <w:t>100个社区、1万户</w:t>
      </w:r>
      <w:r>
        <w:rPr>
          <w:rFonts w:hint="eastAsia"/>
          <w:color w:val="auto"/>
        </w:rPr>
        <w:t>居家</w:t>
      </w:r>
      <w:r>
        <w:rPr>
          <w:color w:val="auto"/>
        </w:rPr>
        <w:t>适老化设施建设或改造示范。</w:t>
      </w:r>
    </w:p>
    <w:p>
      <w:pPr>
        <w:spacing w:line="560" w:lineRule="exact"/>
        <w:ind w:firstLine="602"/>
        <w:rPr>
          <w:color w:val="auto"/>
        </w:rPr>
      </w:pPr>
      <w:r>
        <w:rPr>
          <w:rFonts w:hint="eastAsia"/>
          <w:b/>
          <w:bCs/>
          <w:color w:val="auto"/>
        </w:rPr>
        <w:t>提升养老家庭照护床位服务质量。</w:t>
      </w:r>
      <w:r>
        <w:rPr>
          <w:rFonts w:hint="eastAsia"/>
          <w:color w:val="auto"/>
        </w:rPr>
        <w:t>建立和完善用户介入制度，以应对社区居家养老复杂多样的服务需求；建立和完善投诉、评估和问责制度；建立家庭照护床位服务质量和业绩管理制度框架；制定经济困难失能老年人子女及近亲属回归家庭照护支持政策；通过购买服务等方式，开展失能老年人家庭照护者技能培训，增强家庭照护能力。</w:t>
      </w:r>
    </w:p>
    <w:p>
      <w:pPr>
        <w:pStyle w:val="4"/>
        <w:spacing w:before="205" w:after="205" w:line="560" w:lineRule="exact"/>
        <w:rPr>
          <w:color w:val="auto"/>
        </w:rPr>
      </w:pPr>
      <w:r>
        <w:rPr>
          <w:rFonts w:hint="eastAsia"/>
          <w:color w:val="auto"/>
        </w:rPr>
        <w:t>第</w:t>
      </w:r>
      <w:r>
        <w:rPr>
          <w:rFonts w:hint="eastAsia"/>
          <w:color w:val="auto"/>
          <w:lang w:val="en-US" w:eastAsia="zh-CN"/>
        </w:rPr>
        <w:t>4</w:t>
      </w:r>
      <w:r>
        <w:rPr>
          <w:rFonts w:hint="eastAsia"/>
          <w:color w:val="auto"/>
        </w:rPr>
        <w:t>9条 提升农村养老服务质量</w:t>
      </w:r>
    </w:p>
    <w:p>
      <w:pPr>
        <w:spacing w:line="560" w:lineRule="exact"/>
        <w:ind w:firstLine="602"/>
        <w:rPr>
          <w:color w:val="auto"/>
        </w:rPr>
      </w:pPr>
      <w:r>
        <w:rPr>
          <w:rFonts w:hint="eastAsia"/>
          <w:b/>
          <w:bCs/>
          <w:color w:val="auto"/>
        </w:rPr>
        <w:t>建立农村养老服务网络。</w:t>
      </w:r>
      <w:r>
        <w:rPr>
          <w:rFonts w:hint="eastAsia"/>
          <w:color w:val="auto"/>
        </w:rPr>
        <w:t>以乡镇或老年人聚集区为重点，建立以综合性养老服务中心为枢纽、以农村互助养老服务设施为网点的</w:t>
      </w:r>
      <w:bookmarkStart w:id="302" w:name="_Hlk17380502"/>
      <w:r>
        <w:rPr>
          <w:rFonts w:hint="eastAsia"/>
          <w:color w:val="auto"/>
        </w:rPr>
        <w:t>农村养老服务网络。</w:t>
      </w:r>
      <w:bookmarkEnd w:id="302"/>
      <w:r>
        <w:rPr>
          <w:rFonts w:hint="eastAsia"/>
          <w:color w:val="auto"/>
        </w:rPr>
        <w:t>大力培育农村老年协会、农村社区为老</w:t>
      </w:r>
      <w:r>
        <w:rPr>
          <w:color w:val="auto"/>
        </w:rPr>
        <w:t>服</w:t>
      </w:r>
      <w:r>
        <w:rPr>
          <w:rFonts w:hint="eastAsia"/>
          <w:color w:val="auto"/>
        </w:rPr>
        <w:t>务社会组织，强化农村老年人社会支持体系。加强农</w:t>
      </w:r>
      <w:r>
        <w:rPr>
          <w:color w:val="auto"/>
        </w:rPr>
        <w:t>村社区</w:t>
      </w:r>
      <w:r>
        <w:rPr>
          <w:rFonts w:hint="eastAsia"/>
          <w:color w:val="auto"/>
        </w:rPr>
        <w:t>综合服务能力建设，整合养老服务、公共文化、医疗卫生、全民健身等服务功能，为老年人提供综合性服务。加强村卫生室服务能力建设，健全人员配置，强化老年人健康</w:t>
      </w:r>
      <w:r>
        <w:rPr>
          <w:color w:val="auto"/>
        </w:rPr>
        <w:t>服</w:t>
      </w:r>
      <w:r>
        <w:rPr>
          <w:rFonts w:hint="eastAsia"/>
          <w:color w:val="auto"/>
        </w:rPr>
        <w:t>务功能，研究建立村医参与健康养老服务的激励机制。到2025</w:t>
      </w:r>
      <w:r>
        <w:rPr>
          <w:color w:val="auto"/>
        </w:rPr>
        <w:t>年，全</w:t>
      </w:r>
      <w:r>
        <w:rPr>
          <w:rFonts w:hint="eastAsia"/>
          <w:color w:val="auto"/>
        </w:rPr>
        <w:t>市农村特困人员供养服务机构达到养老机构服务质量基本规范要求。全面建立农村留守老年人关爱服务工</w:t>
      </w:r>
      <w:r>
        <w:rPr>
          <w:color w:val="auto"/>
        </w:rPr>
        <w:t>作机制和基本制度，初</w:t>
      </w:r>
      <w:r>
        <w:rPr>
          <w:rFonts w:hint="eastAsia"/>
          <w:color w:val="auto"/>
        </w:rPr>
        <w:t>步形成关爱服务体系。到2035</w:t>
      </w:r>
      <w:r>
        <w:rPr>
          <w:color w:val="auto"/>
        </w:rPr>
        <w:t>年，</w:t>
      </w:r>
      <w:r>
        <w:rPr>
          <w:rFonts w:hint="eastAsia"/>
          <w:color w:val="auto"/>
        </w:rPr>
        <w:t>全市农村养老机构均具备失能老年人护理服务的设施条件，</w:t>
      </w:r>
      <w:r>
        <w:rPr>
          <w:color w:val="auto"/>
        </w:rPr>
        <w:t>具</w:t>
      </w:r>
      <w:r>
        <w:rPr>
          <w:rFonts w:hint="eastAsia"/>
          <w:color w:val="auto"/>
        </w:rPr>
        <w:t>备医养结合、社区日间照料和支持家庭照护上门服务功能。</w:t>
      </w:r>
    </w:p>
    <w:p>
      <w:pPr>
        <w:spacing w:line="560" w:lineRule="exact"/>
        <w:ind w:firstLine="602"/>
        <w:rPr>
          <w:color w:val="auto"/>
        </w:rPr>
      </w:pPr>
      <w:r>
        <w:rPr>
          <w:rFonts w:hint="eastAsia"/>
          <w:b/>
          <w:bCs/>
          <w:color w:val="auto"/>
        </w:rPr>
        <w:t>创新农村养老服务模式。</w:t>
      </w:r>
      <w:r>
        <w:rPr>
          <w:color w:val="auto"/>
        </w:rPr>
        <w:t>依托</w:t>
      </w:r>
      <w:r>
        <w:rPr>
          <w:rFonts w:hint="eastAsia"/>
          <w:color w:val="auto"/>
        </w:rPr>
        <w:t>农村优势资源，大力发展乡村养老、城乡互助养老</w:t>
      </w:r>
      <w:r>
        <w:rPr>
          <w:color w:val="auto"/>
        </w:rPr>
        <w:t>等新型</w:t>
      </w:r>
      <w:r>
        <w:rPr>
          <w:rFonts w:hint="eastAsia"/>
          <w:color w:val="auto"/>
        </w:rPr>
        <w:t>养老服务模式。鼓励进城务工人员回乡创业，</w:t>
      </w:r>
      <w:r>
        <w:rPr>
          <w:color w:val="auto"/>
        </w:rPr>
        <w:t>参与、培育和</w:t>
      </w:r>
      <w:r>
        <w:rPr>
          <w:rFonts w:hint="eastAsia"/>
          <w:color w:val="auto"/>
        </w:rPr>
        <w:t>发展农村养老服务，提倡村民依托自家居住地建设家庭式养老服务设施，在服务自身的同时接受其他老年人入住；支持农村集体经济发展特色养</w:t>
      </w:r>
      <w:r>
        <w:rPr>
          <w:color w:val="auto"/>
        </w:rPr>
        <w:t>老服</w:t>
      </w:r>
      <w:r>
        <w:rPr>
          <w:rFonts w:hint="eastAsia"/>
          <w:color w:val="auto"/>
        </w:rPr>
        <w:t>务；推动养老服务与乡村旅游、绿色农产品开发等融合发展；鼓励城市居民到农村养老，支持社会资本在农村兴办综合性养老服务机构。</w:t>
      </w:r>
    </w:p>
    <w:p>
      <w:pPr>
        <w:pStyle w:val="3"/>
        <w:spacing w:before="205" w:after="205" w:line="560" w:lineRule="exact"/>
        <w:rPr>
          <w:color w:val="auto"/>
        </w:rPr>
      </w:pPr>
      <w:bookmarkStart w:id="303" w:name="_Toc1704288798"/>
      <w:bookmarkStart w:id="304" w:name="_Toc16872"/>
      <w:bookmarkStart w:id="305" w:name="_Toc19324"/>
      <w:bookmarkStart w:id="306" w:name="_Toc2649"/>
      <w:bookmarkStart w:id="307" w:name="_Toc8573"/>
      <w:bookmarkStart w:id="308" w:name="_Toc29369"/>
      <w:r>
        <w:rPr>
          <w:rFonts w:hint="eastAsia"/>
          <w:color w:val="auto"/>
        </w:rPr>
        <w:t>第二节 创新养老服务联合体</w:t>
      </w:r>
      <w:bookmarkEnd w:id="303"/>
      <w:bookmarkEnd w:id="304"/>
      <w:bookmarkEnd w:id="305"/>
      <w:bookmarkEnd w:id="306"/>
      <w:bookmarkEnd w:id="307"/>
      <w:bookmarkEnd w:id="308"/>
    </w:p>
    <w:p>
      <w:pPr>
        <w:pStyle w:val="4"/>
        <w:spacing w:before="205" w:after="205" w:line="560" w:lineRule="exact"/>
        <w:rPr>
          <w:color w:val="auto"/>
        </w:rPr>
      </w:pPr>
      <w:r>
        <w:rPr>
          <w:rFonts w:hint="eastAsia"/>
          <w:color w:val="auto"/>
        </w:rPr>
        <w:t>第</w:t>
      </w:r>
      <w:r>
        <w:rPr>
          <w:rFonts w:hint="eastAsia"/>
          <w:color w:val="auto"/>
          <w:lang w:val="en-US" w:eastAsia="zh-CN"/>
        </w:rPr>
        <w:t>5</w:t>
      </w:r>
      <w:r>
        <w:rPr>
          <w:rFonts w:hint="eastAsia"/>
          <w:color w:val="auto"/>
        </w:rPr>
        <w:t xml:space="preserve">0条 </w:t>
      </w:r>
      <w:r>
        <w:rPr>
          <w:color w:val="auto"/>
        </w:rPr>
        <w:t>打造</w:t>
      </w:r>
      <w:bookmarkStart w:id="309" w:name="_Hlk15484640"/>
      <w:r>
        <w:rPr>
          <w:color w:val="auto"/>
        </w:rPr>
        <w:t>街</w:t>
      </w:r>
      <w:r>
        <w:rPr>
          <w:rFonts w:hint="eastAsia"/>
          <w:color w:val="auto"/>
        </w:rPr>
        <w:t>乡</w:t>
      </w:r>
      <w:r>
        <w:rPr>
          <w:color w:val="auto"/>
        </w:rPr>
        <w:t>镇养老服务联合体</w:t>
      </w:r>
      <w:bookmarkEnd w:id="309"/>
    </w:p>
    <w:p>
      <w:pPr>
        <w:spacing w:line="560" w:lineRule="exact"/>
        <w:ind w:firstLine="602"/>
        <w:rPr>
          <w:b/>
          <w:bCs/>
          <w:color w:val="auto"/>
        </w:rPr>
      </w:pPr>
      <w:r>
        <w:rPr>
          <w:rFonts w:hint="eastAsia"/>
          <w:b/>
          <w:bCs/>
          <w:color w:val="auto"/>
        </w:rPr>
        <w:t>构建街乡镇养老服务联合体。</w:t>
      </w:r>
      <w:r>
        <w:rPr>
          <w:rFonts w:hint="eastAsia"/>
          <w:color w:val="auto"/>
        </w:rPr>
        <w:t>街道办事处、乡镇政府牵头街乡镇养老服务组织，承担区域养老服务统筹、资源整合、支持指导、监督管理等职能，实现区域养老服务设施合理布局，功能服务衔接连续，精准对接老年人多样化养老服务需求。</w:t>
      </w:r>
    </w:p>
    <w:p>
      <w:pPr>
        <w:spacing w:line="560" w:lineRule="exact"/>
        <w:ind w:firstLine="602"/>
        <w:rPr>
          <w:color w:val="auto"/>
        </w:rPr>
      </w:pPr>
      <w:r>
        <w:rPr>
          <w:rFonts w:hint="eastAsia"/>
          <w:b/>
          <w:bCs/>
          <w:color w:val="auto"/>
        </w:rPr>
        <w:t>健全养老照料中心服务核心。</w:t>
      </w:r>
      <w:r>
        <w:rPr>
          <w:rFonts w:hint="eastAsia"/>
          <w:color w:val="auto"/>
        </w:rPr>
        <w:t>支持养老照料中心全面提升机构养老、居家助老、社区托老、专业支撑、技能实训、信息管理等六项基本功能和医养结合水平，充分发挥其对社区托养和居家养老的辐射和拓展作用。以街乡镇为中心完善养老服务联合体信息管理系统，基本养老服务需求分级分类管理。</w:t>
      </w:r>
    </w:p>
    <w:p>
      <w:pPr>
        <w:spacing w:line="560" w:lineRule="exact"/>
        <w:ind w:firstLine="602"/>
        <w:rPr>
          <w:color w:val="auto"/>
        </w:rPr>
      </w:pPr>
      <w:r>
        <w:rPr>
          <w:rFonts w:hint="eastAsia"/>
          <w:b/>
          <w:bCs/>
          <w:color w:val="auto"/>
        </w:rPr>
        <w:t>促进人才向基层有序流动。</w:t>
      </w:r>
      <w:r>
        <w:rPr>
          <w:color w:val="auto"/>
        </w:rPr>
        <w:t>探索“</w:t>
      </w:r>
      <w:r>
        <w:rPr>
          <w:rFonts w:hint="eastAsia"/>
          <w:color w:val="auto"/>
        </w:rPr>
        <w:t>街道</w:t>
      </w:r>
      <w:r>
        <w:rPr>
          <w:color w:val="auto"/>
        </w:rPr>
        <w:t>招聘、社区使用”的用人机制</w:t>
      </w:r>
      <w:r>
        <w:rPr>
          <w:rFonts w:hint="eastAsia"/>
          <w:color w:val="auto"/>
        </w:rPr>
        <w:t>，强化街乡镇统筹整合专业社工、志愿服务、邻里互助等力量，推动形成共建共享的街</w:t>
      </w:r>
      <w:r>
        <w:rPr>
          <w:rFonts w:hint="eastAsia"/>
          <w:color w:val="auto"/>
          <w:lang w:eastAsia="zh-CN"/>
        </w:rPr>
        <w:t>乡</w:t>
      </w:r>
      <w:r>
        <w:rPr>
          <w:rFonts w:hint="eastAsia"/>
          <w:color w:val="auto"/>
        </w:rPr>
        <w:t>镇养老服务联合体。加强养老人才培养培训，注重为失能失智老年人提供持续性的专业养老管理服务。根据不同老年人的需求细分服务内容，提高养老服务的个性化和多元化。</w:t>
      </w:r>
    </w:p>
    <w:p>
      <w:pPr>
        <w:spacing w:line="560" w:lineRule="exact"/>
        <w:ind w:firstLine="602"/>
        <w:rPr>
          <w:color w:val="auto"/>
        </w:rPr>
      </w:pPr>
      <w:r>
        <w:rPr>
          <w:rFonts w:hint="eastAsia"/>
          <w:b/>
          <w:bCs/>
          <w:color w:val="auto"/>
        </w:rPr>
        <w:t>加强老年助餐体系建设。</w:t>
      </w:r>
      <w:r>
        <w:rPr>
          <w:rFonts w:hint="eastAsia"/>
          <w:color w:val="auto"/>
        </w:rPr>
        <w:t>加强老年餐供给，拓宽社会资本投资参与建设渠道，整合各类社会企业餐饮和服务资源，为居家老年人提供营养均衡、安全可持续的膳食服务。助餐机构通过社区养老服务驿站享受服务流量补贴。</w:t>
      </w:r>
    </w:p>
    <w:p>
      <w:pPr>
        <w:pStyle w:val="4"/>
        <w:spacing w:before="205" w:after="205" w:line="560" w:lineRule="exact"/>
        <w:rPr>
          <w:color w:val="auto"/>
        </w:rPr>
      </w:pPr>
      <w:r>
        <w:rPr>
          <w:color w:val="auto"/>
        </w:rPr>
        <w:t>第</w:t>
      </w:r>
      <w:r>
        <w:rPr>
          <w:rFonts w:hint="eastAsia"/>
          <w:color w:val="auto"/>
          <w:lang w:val="en-US" w:eastAsia="zh-CN"/>
        </w:rPr>
        <w:t>5</w:t>
      </w:r>
      <w:r>
        <w:rPr>
          <w:rFonts w:hint="eastAsia"/>
          <w:color w:val="auto"/>
        </w:rPr>
        <w:t>1</w:t>
      </w:r>
      <w:r>
        <w:rPr>
          <w:color w:val="auto"/>
        </w:rPr>
        <w:t>条</w:t>
      </w:r>
      <w:r>
        <w:rPr>
          <w:rFonts w:hint="eastAsia"/>
          <w:color w:val="auto"/>
        </w:rPr>
        <w:t xml:space="preserve"> 推进城郊养老服务协作体</w:t>
      </w:r>
    </w:p>
    <w:p>
      <w:pPr>
        <w:spacing w:line="560" w:lineRule="exact"/>
        <w:ind w:firstLine="602"/>
        <w:rPr>
          <w:color w:val="auto"/>
        </w:rPr>
      </w:pPr>
      <w:r>
        <w:rPr>
          <w:rFonts w:hint="eastAsia"/>
          <w:b/>
          <w:bCs/>
          <w:color w:val="auto"/>
        </w:rPr>
        <w:t>建立</w:t>
      </w:r>
      <w:bookmarkStart w:id="310" w:name="_Hlk17382824"/>
      <w:r>
        <w:rPr>
          <w:rFonts w:hint="eastAsia"/>
          <w:b/>
          <w:bCs/>
          <w:color w:val="auto"/>
        </w:rPr>
        <w:t>“1</w:t>
      </w:r>
      <w:r>
        <w:rPr>
          <w:b/>
          <w:bCs/>
          <w:color w:val="auto"/>
        </w:rPr>
        <w:t>+</w:t>
      </w:r>
      <w:r>
        <w:rPr>
          <w:rFonts w:hint="eastAsia"/>
          <w:b/>
          <w:bCs/>
          <w:color w:val="auto"/>
        </w:rPr>
        <w:t>1”</w:t>
      </w:r>
      <w:bookmarkEnd w:id="310"/>
      <w:r>
        <w:rPr>
          <w:rFonts w:hint="eastAsia"/>
          <w:b/>
          <w:bCs/>
          <w:color w:val="auto"/>
        </w:rPr>
        <w:t>城郊养老服务协作体</w:t>
      </w:r>
      <w:r>
        <w:rPr>
          <w:b/>
          <w:bCs/>
          <w:color w:val="auto"/>
        </w:rPr>
        <w:t>框架协</w:t>
      </w:r>
      <w:r>
        <w:rPr>
          <w:rFonts w:hint="eastAsia"/>
          <w:b/>
          <w:bCs/>
          <w:color w:val="auto"/>
        </w:rPr>
        <w:t>议。</w:t>
      </w:r>
      <w:r>
        <w:rPr>
          <w:rFonts w:hint="eastAsia"/>
          <w:color w:val="auto"/>
        </w:rPr>
        <w:t>支持中心城区和外围地区之间建立“</w:t>
      </w:r>
      <w:r>
        <w:rPr>
          <w:color w:val="auto"/>
        </w:rPr>
        <w:t>1+1</w:t>
      </w:r>
      <w:r>
        <w:rPr>
          <w:rFonts w:hint="eastAsia"/>
          <w:color w:val="auto"/>
        </w:rPr>
        <w:t>”城郊养老服务协作体，推进城区与郊区之间协作养老。总结推广东城区利用怀柔区地块，养老需求“外扩”的做法和经验。加强市区之间在养老方面对接合作，推动中心城区养老机构在多点地区和生态涵养区外扩和落地。</w:t>
      </w:r>
    </w:p>
    <w:p>
      <w:pPr>
        <w:spacing w:line="560" w:lineRule="exact"/>
        <w:ind w:firstLine="602"/>
        <w:rPr>
          <w:color w:val="auto"/>
        </w:rPr>
      </w:pPr>
      <w:r>
        <w:rPr>
          <w:rFonts w:hint="eastAsia"/>
          <w:b/>
          <w:bCs/>
          <w:color w:val="auto"/>
        </w:rPr>
        <w:t>深化区域协作</w:t>
      </w:r>
      <w:r>
        <w:rPr>
          <w:b/>
          <w:bCs/>
          <w:color w:val="auto"/>
        </w:rPr>
        <w:t>发展</w:t>
      </w:r>
      <w:r>
        <w:rPr>
          <w:rFonts w:hint="eastAsia"/>
          <w:b/>
          <w:bCs/>
          <w:color w:val="auto"/>
        </w:rPr>
        <w:t>，</w:t>
      </w:r>
      <w:r>
        <w:rPr>
          <w:b/>
          <w:bCs/>
          <w:color w:val="auto"/>
        </w:rPr>
        <w:t>带动</w:t>
      </w:r>
      <w:r>
        <w:rPr>
          <w:rFonts w:hint="eastAsia"/>
          <w:b/>
          <w:bCs/>
          <w:color w:val="auto"/>
        </w:rPr>
        <w:t>提升区域养老服务水平。</w:t>
      </w:r>
      <w:r>
        <w:rPr>
          <w:rFonts w:hint="eastAsia"/>
          <w:color w:val="auto"/>
        </w:rPr>
        <w:t>在共享发展的理念下，围绕养老服务供给，持续推动区域之间经验交流，</w:t>
      </w:r>
      <w:r>
        <w:rPr>
          <w:color w:val="auto"/>
        </w:rPr>
        <w:t>加大</w:t>
      </w:r>
      <w:r>
        <w:rPr>
          <w:rFonts w:hint="eastAsia"/>
          <w:color w:val="auto"/>
        </w:rPr>
        <w:t>区域协作养老服务合作深度。依托市国资委成立的养老服务企业集团，建立市场协作机制，开展北京“</w:t>
      </w:r>
      <w:r>
        <w:rPr>
          <w:color w:val="auto"/>
        </w:rPr>
        <w:t>1+1”</w:t>
      </w:r>
      <w:r>
        <w:rPr>
          <w:rFonts w:hint="eastAsia"/>
          <w:color w:val="auto"/>
        </w:rPr>
        <w:t>城郊养老协作体</w:t>
      </w:r>
      <w:r>
        <w:rPr>
          <w:color w:val="auto"/>
        </w:rPr>
        <w:t>试点</w:t>
      </w:r>
      <w:r>
        <w:rPr>
          <w:rFonts w:hint="eastAsia"/>
          <w:color w:val="auto"/>
        </w:rPr>
        <w:t>，把需要大范围空间资源的服务项目建设在生态涵养区。建立双向转院绿色通道，融合两方养老服务，健全完善养老服务供需对接机制，增加老年人获取服务的便利性、安全性。搭建区域之间专业人才交流平台和流动平台，探索首都特色养老服务模式，为广大群众提供更多、更优质的养老服务。</w:t>
      </w:r>
    </w:p>
    <w:bookmarkEnd w:id="194"/>
    <w:bookmarkEnd w:id="195"/>
    <w:bookmarkEnd w:id="196"/>
    <w:bookmarkEnd w:id="197"/>
    <w:bookmarkEnd w:id="198"/>
    <w:p>
      <w:pPr>
        <w:pStyle w:val="4"/>
        <w:spacing w:before="205" w:after="205" w:line="560" w:lineRule="exact"/>
        <w:rPr>
          <w:color w:val="auto"/>
        </w:rPr>
      </w:pPr>
      <w:r>
        <w:rPr>
          <w:rFonts w:hint="eastAsia"/>
          <w:color w:val="auto"/>
        </w:rPr>
        <w:t>第</w:t>
      </w:r>
      <w:r>
        <w:rPr>
          <w:rFonts w:hint="eastAsia"/>
          <w:color w:val="auto"/>
          <w:lang w:val="en-US" w:eastAsia="zh-CN"/>
        </w:rPr>
        <w:t>5</w:t>
      </w:r>
      <w:r>
        <w:rPr>
          <w:rFonts w:hint="eastAsia"/>
          <w:color w:val="auto"/>
        </w:rPr>
        <w:t>2条 推动京津冀</w:t>
      </w:r>
      <w:bookmarkStart w:id="311" w:name="_Hlk15488140"/>
      <w:r>
        <w:rPr>
          <w:color w:val="auto"/>
        </w:rPr>
        <w:t>养老服务</w:t>
      </w:r>
      <w:r>
        <w:rPr>
          <w:rFonts w:hint="eastAsia"/>
          <w:color w:val="auto"/>
        </w:rPr>
        <w:t>协同</w:t>
      </w:r>
      <w:r>
        <w:rPr>
          <w:color w:val="auto"/>
        </w:rPr>
        <w:t>体</w:t>
      </w:r>
      <w:bookmarkEnd w:id="311"/>
    </w:p>
    <w:p>
      <w:pPr>
        <w:spacing w:line="560" w:lineRule="exact"/>
        <w:ind w:firstLine="602"/>
        <w:rPr>
          <w:color w:val="auto"/>
        </w:rPr>
      </w:pPr>
      <w:r>
        <w:rPr>
          <w:b/>
          <w:bCs/>
          <w:color w:val="auto"/>
        </w:rPr>
        <w:t>推动《京津冀养老服务协同发展</w:t>
      </w:r>
      <w:r>
        <w:rPr>
          <w:rFonts w:hint="eastAsia"/>
          <w:b/>
          <w:bCs/>
          <w:color w:val="auto"/>
        </w:rPr>
        <w:t>合作协议</w:t>
      </w:r>
      <w:r>
        <w:rPr>
          <w:b/>
          <w:bCs/>
          <w:color w:val="auto"/>
        </w:rPr>
        <w:t>》落地实施</w:t>
      </w:r>
      <w:r>
        <w:rPr>
          <w:rFonts w:hint="eastAsia"/>
          <w:b/>
          <w:bCs/>
          <w:color w:val="auto"/>
        </w:rPr>
        <w:t>。</w:t>
      </w:r>
      <w:r>
        <w:rPr>
          <w:rFonts w:hint="eastAsia"/>
          <w:color w:val="auto"/>
        </w:rPr>
        <w:t>加强信息平台建设，推动标准规范、信用评价和激励惩戒机制的统一。加强京津冀协作，以北京城市副中心建设与廊坊北三县一体规划、协同发展为契机，制定专项支持政策，推动北京养老项目向天津武清、廊坊、保定，特别是北三县延伸布局。</w:t>
      </w:r>
    </w:p>
    <w:p>
      <w:pPr>
        <w:spacing w:line="560" w:lineRule="exact"/>
        <w:ind w:firstLine="602"/>
        <w:rPr>
          <w:rFonts w:cs="宋体"/>
          <w:color w:val="auto"/>
          <w:kern w:val="0"/>
        </w:rPr>
      </w:pPr>
      <w:r>
        <w:rPr>
          <w:rFonts w:hint="eastAsia"/>
          <w:b/>
          <w:bCs/>
          <w:color w:val="auto"/>
        </w:rPr>
        <w:t>推动京津冀养老服务交流互通。</w:t>
      </w:r>
      <w:r>
        <w:rPr>
          <w:rFonts w:hint="eastAsia"/>
          <w:color w:val="auto"/>
        </w:rPr>
        <w:t>通过搭建京津冀养老服务协同体，引导机构养老服务设施科学布局，推动养老服务机构连锁化、品牌化、标准化发展。推进京津冀养老深度合作，在养老人才管理、康复设施建设、养护查房、心理慰藉、人员进修等环节开展全方位的交流合作；建立老年人在京津冀之间养老服务转换制度，指派专人负责协调双向转养工作。加强专业养老人才的交流、培训</w:t>
      </w:r>
      <w:r>
        <w:rPr>
          <w:rFonts w:hint="eastAsia"/>
          <w:color w:val="auto"/>
          <w:lang w:eastAsia="zh-CN"/>
        </w:rPr>
        <w:t>，</w:t>
      </w:r>
      <w:r>
        <w:rPr>
          <w:rFonts w:hint="eastAsia"/>
          <w:color w:val="auto"/>
        </w:rPr>
        <w:t>提升京津冀养老服务能力水平及管理水平。北京市属高校应在河北省、对口援助省市等特定地区定向招生，培养养老服务人才为老年人提供服务。</w:t>
      </w:r>
    </w:p>
    <w:p>
      <w:pPr>
        <w:spacing w:line="560" w:lineRule="exact"/>
        <w:ind w:firstLine="602"/>
        <w:rPr>
          <w:color w:val="auto"/>
        </w:rPr>
      </w:pPr>
      <w:r>
        <w:rPr>
          <w:rFonts w:hint="eastAsia"/>
          <w:b/>
          <w:bCs/>
          <w:color w:val="auto"/>
        </w:rPr>
        <w:t>推动京津冀养老服务资源互通。</w:t>
      </w:r>
      <w:r>
        <w:rPr>
          <w:color w:val="auto"/>
        </w:rPr>
        <w:t>推进京津冀养老机构资质互认、标准互通、监管协同的管理模式。依托信息化手段，建立健全养老</w:t>
      </w:r>
      <w:r>
        <w:rPr>
          <w:rFonts w:hint="eastAsia"/>
          <w:color w:val="auto"/>
        </w:rPr>
        <w:t>服务</w:t>
      </w:r>
      <w:r>
        <w:rPr>
          <w:color w:val="auto"/>
        </w:rPr>
        <w:t>资源供给和养老服务需求双向交流的基础信息平台和监管机制。</w:t>
      </w:r>
    </w:p>
    <w:p>
      <w:pPr>
        <w:pStyle w:val="2"/>
        <w:spacing w:after="411" w:line="560" w:lineRule="exact"/>
        <w:jc w:val="both"/>
        <w:rPr>
          <w:rFonts w:cs="Times New Roman"/>
          <w:color w:val="auto"/>
          <w:szCs w:val="30"/>
        </w:rPr>
      </w:pPr>
    </w:p>
    <w:p>
      <w:pPr>
        <w:spacing w:line="560" w:lineRule="exact"/>
        <w:ind w:firstLine="600"/>
        <w:rPr>
          <w:rFonts w:cs="Times New Roman"/>
          <w:color w:val="auto"/>
          <w:szCs w:val="30"/>
        </w:rPr>
      </w:pPr>
    </w:p>
    <w:p>
      <w:pPr>
        <w:spacing w:line="560" w:lineRule="exact"/>
        <w:ind w:firstLine="600"/>
        <w:rPr>
          <w:rFonts w:cs="Times New Roman"/>
          <w:color w:val="auto"/>
          <w:szCs w:val="30"/>
        </w:rPr>
      </w:pPr>
    </w:p>
    <w:p>
      <w:pPr>
        <w:pStyle w:val="2"/>
        <w:spacing w:after="411" w:line="560" w:lineRule="exact"/>
        <w:jc w:val="both"/>
        <w:rPr>
          <w:color w:val="auto"/>
        </w:rPr>
      </w:pPr>
      <w:bookmarkStart w:id="312" w:name="_Toc31207"/>
      <w:bookmarkStart w:id="313" w:name="_Toc29723"/>
    </w:p>
    <w:p>
      <w:pPr>
        <w:spacing w:line="560" w:lineRule="exact"/>
        <w:ind w:firstLine="600"/>
        <w:rPr>
          <w:color w:val="auto"/>
        </w:rPr>
      </w:pPr>
    </w:p>
    <w:p>
      <w:pPr>
        <w:spacing w:line="560" w:lineRule="exact"/>
        <w:ind w:firstLine="600"/>
        <w:rPr>
          <w:color w:val="auto"/>
        </w:rPr>
      </w:pPr>
    </w:p>
    <w:p>
      <w:pPr>
        <w:spacing w:line="560" w:lineRule="exact"/>
        <w:ind w:firstLine="600"/>
        <w:rPr>
          <w:color w:val="auto"/>
        </w:rPr>
      </w:pPr>
    </w:p>
    <w:p>
      <w:pPr>
        <w:spacing w:line="560" w:lineRule="exact"/>
        <w:ind w:firstLine="600"/>
        <w:rPr>
          <w:color w:val="auto"/>
        </w:rPr>
      </w:pPr>
    </w:p>
    <w:p>
      <w:pPr>
        <w:pStyle w:val="2"/>
        <w:spacing w:after="411" w:line="560" w:lineRule="exact"/>
        <w:rPr>
          <w:color w:val="auto"/>
        </w:rPr>
      </w:pPr>
      <w:bookmarkStart w:id="314" w:name="_Toc942985639"/>
      <w:r>
        <w:rPr>
          <w:color w:val="auto"/>
        </w:rPr>
        <w:t>第</w:t>
      </w:r>
      <w:r>
        <w:rPr>
          <w:rFonts w:hint="eastAsia"/>
          <w:color w:val="auto"/>
        </w:rPr>
        <w:t>五</w:t>
      </w:r>
      <w:r>
        <w:rPr>
          <w:color w:val="auto"/>
        </w:rPr>
        <w:t>章</w:t>
      </w:r>
      <w:r>
        <w:rPr>
          <w:rFonts w:hint="eastAsia"/>
          <w:color w:val="auto"/>
        </w:rPr>
        <w:t xml:space="preserve"> </w:t>
      </w:r>
      <w:r>
        <w:rPr>
          <w:color w:val="auto"/>
        </w:rPr>
        <w:t>织密养老服务</w:t>
      </w:r>
      <w:r>
        <w:rPr>
          <w:rFonts w:hint="eastAsia"/>
          <w:color w:val="auto"/>
        </w:rPr>
        <w:t>供给</w:t>
      </w:r>
      <w:r>
        <w:rPr>
          <w:color w:val="auto"/>
        </w:rPr>
        <w:t>网络</w:t>
      </w:r>
      <w:bookmarkEnd w:id="0"/>
      <w:bookmarkEnd w:id="1"/>
      <w:bookmarkEnd w:id="2"/>
      <w:bookmarkEnd w:id="3"/>
      <w:bookmarkEnd w:id="4"/>
      <w:bookmarkEnd w:id="312"/>
      <w:bookmarkEnd w:id="313"/>
      <w:bookmarkEnd w:id="314"/>
    </w:p>
    <w:p>
      <w:pPr>
        <w:spacing w:line="560" w:lineRule="exact"/>
        <w:ind w:firstLine="600"/>
        <w:rPr>
          <w:color w:val="auto"/>
        </w:rPr>
      </w:pPr>
      <w:r>
        <w:rPr>
          <w:rFonts w:hint="eastAsia"/>
          <w:color w:val="auto"/>
        </w:rPr>
        <w:t>聚焦居家社区养老，立足发展机构养老服务设施，织密就近精准养老服务网络。</w:t>
      </w:r>
      <w:bookmarkStart w:id="315" w:name="_Hlk39932251"/>
      <w:r>
        <w:rPr>
          <w:rFonts w:hint="eastAsia"/>
          <w:color w:val="auto"/>
        </w:rPr>
        <w:t>坚持居家社区机构“三位一体”融合发展、协同发展</w:t>
      </w:r>
      <w:bookmarkEnd w:id="315"/>
      <w:r>
        <w:rPr>
          <w:rFonts w:hint="eastAsia"/>
          <w:color w:val="auto"/>
        </w:rPr>
        <w:t>，围绕老年人周边、身边、床边服务需求，持续构建“三边四级”就近精准居家养老服务体系。</w:t>
      </w:r>
    </w:p>
    <w:p>
      <w:pPr>
        <w:pStyle w:val="3"/>
        <w:spacing w:before="205" w:after="205" w:line="560" w:lineRule="exact"/>
        <w:rPr>
          <w:color w:val="auto"/>
        </w:rPr>
      </w:pPr>
      <w:bookmarkStart w:id="316" w:name="_Toc10151"/>
      <w:bookmarkStart w:id="317" w:name="_Toc28981_WPSOffice_Level2"/>
      <w:bookmarkStart w:id="318" w:name="_Toc532554161"/>
      <w:bookmarkStart w:id="319" w:name="_Toc3766_WPSOffice_Level2"/>
      <w:bookmarkStart w:id="320" w:name="_Toc28673"/>
      <w:bookmarkStart w:id="321" w:name="_Toc857"/>
      <w:bookmarkStart w:id="322" w:name="_Toc6203"/>
      <w:bookmarkStart w:id="323" w:name="_Toc31795"/>
      <w:bookmarkStart w:id="324" w:name="_Toc29221"/>
      <w:bookmarkStart w:id="325" w:name="_Toc15589"/>
      <w:bookmarkStart w:id="326" w:name="_Toc1129362538"/>
      <w:bookmarkStart w:id="327" w:name="_Toc19446_WPSOffice_Level2"/>
      <w:bookmarkStart w:id="328" w:name="_Toc532554148"/>
      <w:bookmarkStart w:id="329" w:name="_Toc24144_WPSOffice_Level2"/>
      <w:bookmarkStart w:id="330" w:name="_Toc11812"/>
      <w:r>
        <w:rPr>
          <w:rFonts w:hint="eastAsia"/>
          <w:color w:val="auto"/>
        </w:rPr>
        <w:t>第一节</w:t>
      </w:r>
      <w:bookmarkEnd w:id="316"/>
      <w:bookmarkEnd w:id="317"/>
      <w:bookmarkEnd w:id="318"/>
      <w:bookmarkEnd w:id="319"/>
      <w:r>
        <w:rPr>
          <w:rFonts w:hint="eastAsia"/>
          <w:color w:val="auto"/>
        </w:rPr>
        <w:t xml:space="preserve"> 养老服务设施布局基本原则</w:t>
      </w:r>
      <w:bookmarkEnd w:id="320"/>
      <w:bookmarkEnd w:id="321"/>
      <w:bookmarkEnd w:id="322"/>
      <w:bookmarkEnd w:id="323"/>
      <w:bookmarkEnd w:id="324"/>
      <w:bookmarkEnd w:id="325"/>
      <w:bookmarkEnd w:id="326"/>
    </w:p>
    <w:p>
      <w:pPr>
        <w:pStyle w:val="4"/>
        <w:spacing w:before="205" w:after="205" w:line="560" w:lineRule="exact"/>
        <w:rPr>
          <w:color w:val="auto"/>
        </w:rPr>
      </w:pPr>
      <w:bookmarkStart w:id="331" w:name="_Hlk27045149"/>
      <w:r>
        <w:rPr>
          <w:rFonts w:hint="eastAsia"/>
          <w:color w:val="auto"/>
        </w:rPr>
        <w:t>第</w:t>
      </w:r>
      <w:r>
        <w:rPr>
          <w:rFonts w:hint="eastAsia"/>
          <w:color w:val="auto"/>
          <w:lang w:val="en-US" w:eastAsia="zh-CN"/>
        </w:rPr>
        <w:t>5</w:t>
      </w:r>
      <w:r>
        <w:rPr>
          <w:rFonts w:hint="eastAsia"/>
          <w:color w:val="auto"/>
        </w:rPr>
        <w:t>3条 精准匹配养老服务设施，精准满足老年人需求</w:t>
      </w:r>
    </w:p>
    <w:p>
      <w:pPr>
        <w:spacing w:line="560" w:lineRule="exact"/>
        <w:ind w:firstLine="600"/>
        <w:rPr>
          <w:rFonts w:cs="宋体"/>
          <w:color w:val="auto"/>
          <w:shd w:val="clear" w:color="auto" w:fill="FFFFFF"/>
        </w:rPr>
      </w:pPr>
      <w:r>
        <w:rPr>
          <w:rFonts w:hint="eastAsia"/>
          <w:color w:val="auto"/>
        </w:rPr>
        <w:t>坚持需求导向和问题导向，针对各区域实际情况实施分区规划，实现由扩张性规划向优化空间结构规划转变，统筹解决床位不足与闲置并存的结构性问题，推动从注重数量到更注重质量的规划转变。坚持老残儿一体化，</w:t>
      </w:r>
      <w:r>
        <w:rPr>
          <w:rFonts w:hint="eastAsia" w:cs="宋体"/>
          <w:color w:val="auto"/>
          <w:shd w:val="clear" w:color="auto" w:fill="FFFFFF"/>
        </w:rPr>
        <w:t>利用疏解腾退空间补充公共服务设施，增加中心城区的养老服务设施供给。坚持</w:t>
      </w:r>
      <w:r>
        <w:rPr>
          <w:rFonts w:hint="eastAsia"/>
          <w:color w:val="auto"/>
        </w:rPr>
        <w:t>因地制宜原则，养老服务设施建设要符合当地老</w:t>
      </w:r>
      <w:r>
        <w:rPr>
          <w:rFonts w:hint="eastAsia" w:cs="宋体"/>
          <w:color w:val="auto"/>
          <w:shd w:val="clear" w:color="auto" w:fill="FFFFFF"/>
        </w:rPr>
        <w:t>年人需求，在保障基本服务基础上发展个性化社区养老服务设施。</w:t>
      </w:r>
    </w:p>
    <w:bookmarkEnd w:id="331"/>
    <w:p>
      <w:pPr>
        <w:pStyle w:val="4"/>
        <w:spacing w:before="205" w:after="205" w:line="560" w:lineRule="exact"/>
        <w:rPr>
          <w:color w:val="auto"/>
        </w:rPr>
      </w:pPr>
      <w:r>
        <w:rPr>
          <w:rFonts w:hint="eastAsia"/>
          <w:color w:val="auto"/>
        </w:rPr>
        <w:t>第</w:t>
      </w:r>
      <w:r>
        <w:rPr>
          <w:rFonts w:hint="eastAsia"/>
          <w:color w:val="auto"/>
          <w:lang w:val="en-US" w:eastAsia="zh-CN"/>
        </w:rPr>
        <w:t>5</w:t>
      </w:r>
      <w:r>
        <w:rPr>
          <w:rFonts w:hint="eastAsia"/>
          <w:color w:val="auto"/>
        </w:rPr>
        <w:t xml:space="preserve">4条 </w:t>
      </w:r>
      <w:r>
        <w:rPr>
          <w:color w:val="auto"/>
        </w:rPr>
        <w:t>积极引导社会力量广泛参与社区养老服务</w:t>
      </w:r>
    </w:p>
    <w:p>
      <w:pPr>
        <w:spacing w:line="560" w:lineRule="exact"/>
        <w:ind w:firstLine="600"/>
        <w:rPr>
          <w:color w:val="auto"/>
        </w:rPr>
      </w:pPr>
      <w:r>
        <w:rPr>
          <w:color w:val="auto"/>
        </w:rPr>
        <w:t>扶持培养一批综合化、专业化、连锁化、品牌化社区养老服务机构，支持其取得合理回报和持续发展。</w:t>
      </w:r>
      <w:r>
        <w:rPr>
          <w:rFonts w:hint="eastAsia"/>
          <w:color w:val="auto"/>
        </w:rPr>
        <w:t>在街道层面建设具备集中入住、临时托养上门服务、对下指导等综合功能的养老照料中心，在社区层面建立养老服务驿站</w:t>
      </w:r>
      <w:r>
        <w:rPr>
          <w:rFonts w:hint="eastAsia"/>
          <w:color w:val="auto"/>
          <w:lang w:eastAsia="zh-CN"/>
        </w:rPr>
        <w:t>，</w:t>
      </w:r>
      <w:r>
        <w:rPr>
          <w:rFonts w:hint="eastAsia"/>
          <w:color w:val="auto"/>
        </w:rPr>
        <w:t>就近为老年人提供生活照料、助餐助行、紧急救援、精神慰藉等服务。形成市、区级养老服务设施为引领、街乡养老照料中心和社区养老服务驿站为主体、养老家庭照护床位为补充的养老服务设施网络。到</w:t>
      </w:r>
      <w:r>
        <w:rPr>
          <w:color w:val="auto"/>
        </w:rPr>
        <w:t>20</w:t>
      </w:r>
      <w:r>
        <w:rPr>
          <w:rFonts w:hint="eastAsia"/>
          <w:color w:val="auto"/>
        </w:rPr>
        <w:t>2</w:t>
      </w:r>
      <w:r>
        <w:rPr>
          <w:color w:val="auto"/>
        </w:rPr>
        <w:t>5年，达到全市养老服务设施网络全覆盖。</w:t>
      </w:r>
    </w:p>
    <w:p>
      <w:pPr>
        <w:pStyle w:val="3"/>
        <w:spacing w:before="205" w:after="205" w:line="560" w:lineRule="exact"/>
        <w:rPr>
          <w:color w:val="auto"/>
        </w:rPr>
      </w:pPr>
      <w:bookmarkStart w:id="332" w:name="_Toc10423"/>
      <w:bookmarkStart w:id="333" w:name="_Toc5703"/>
      <w:bookmarkStart w:id="334" w:name="_Toc26097"/>
      <w:bookmarkStart w:id="335" w:name="_Toc5246"/>
      <w:bookmarkStart w:id="336" w:name="_Toc30548"/>
      <w:bookmarkStart w:id="337" w:name="_Toc707237023"/>
      <w:bookmarkStart w:id="338" w:name="_Toc11235"/>
      <w:r>
        <w:rPr>
          <w:rFonts w:hint="eastAsia"/>
          <w:color w:val="auto"/>
        </w:rPr>
        <w:t>第二节 明确设施缺口计算方法</w:t>
      </w:r>
      <w:bookmarkEnd w:id="332"/>
      <w:bookmarkEnd w:id="333"/>
      <w:bookmarkEnd w:id="334"/>
      <w:bookmarkEnd w:id="335"/>
      <w:bookmarkEnd w:id="336"/>
      <w:bookmarkEnd w:id="337"/>
      <w:bookmarkEnd w:id="338"/>
    </w:p>
    <w:p>
      <w:pPr>
        <w:pStyle w:val="4"/>
        <w:spacing w:before="205" w:after="205" w:line="560" w:lineRule="exact"/>
        <w:rPr>
          <w:color w:val="auto"/>
        </w:rPr>
      </w:pPr>
      <w:bookmarkStart w:id="339" w:name="_Hlk38379327"/>
      <w:r>
        <w:rPr>
          <w:rFonts w:hint="eastAsia"/>
          <w:color w:val="auto"/>
        </w:rPr>
        <w:t>第</w:t>
      </w:r>
      <w:r>
        <w:rPr>
          <w:rFonts w:hint="eastAsia"/>
          <w:color w:val="auto"/>
          <w:lang w:val="en-US" w:eastAsia="zh-CN"/>
        </w:rPr>
        <w:t>5</w:t>
      </w:r>
      <w:r>
        <w:rPr>
          <w:rFonts w:hint="eastAsia"/>
          <w:color w:val="auto"/>
        </w:rPr>
        <w:t>5条 社区养老服务驿站缺口数计算方法</w:t>
      </w:r>
    </w:p>
    <w:p>
      <w:pPr>
        <w:spacing w:line="560" w:lineRule="exact"/>
        <w:ind w:firstLine="600"/>
        <w:rPr>
          <w:color w:val="auto"/>
        </w:rPr>
      </w:pPr>
      <w:r>
        <w:rPr>
          <w:color w:val="auto"/>
        </w:rPr>
        <w:t>核心区</w:t>
      </w:r>
      <w:r>
        <w:rPr>
          <w:rFonts w:hint="eastAsia"/>
          <w:color w:val="auto"/>
        </w:rPr>
        <w:t>、</w:t>
      </w:r>
      <w:r>
        <w:rPr>
          <w:color w:val="auto"/>
        </w:rPr>
        <w:t>中心城区2025年按照2万人设置一个</w:t>
      </w:r>
      <w:r>
        <w:rPr>
          <w:rFonts w:hint="eastAsia"/>
          <w:color w:val="auto"/>
          <w:lang w:eastAsia="zh-CN"/>
        </w:rPr>
        <w:t>社区</w:t>
      </w:r>
      <w:r>
        <w:rPr>
          <w:color w:val="auto"/>
        </w:rPr>
        <w:t>养老服务驿站计算</w:t>
      </w:r>
      <w:r>
        <w:rPr>
          <w:rFonts w:hint="eastAsia"/>
          <w:color w:val="auto"/>
        </w:rPr>
        <w:t>，</w:t>
      </w:r>
      <w:r>
        <w:rPr>
          <w:color w:val="auto"/>
        </w:rPr>
        <w:t>2035年按照2万人设置一个</w:t>
      </w:r>
      <w:r>
        <w:rPr>
          <w:rFonts w:hint="eastAsia"/>
          <w:color w:val="auto"/>
          <w:lang w:eastAsia="zh-CN"/>
        </w:rPr>
        <w:t>社区</w:t>
      </w:r>
      <w:r>
        <w:rPr>
          <w:color w:val="auto"/>
        </w:rPr>
        <w:t>养老服务驿站计算</w:t>
      </w:r>
      <w:r>
        <w:rPr>
          <w:rFonts w:hint="eastAsia"/>
          <w:color w:val="auto"/>
        </w:rPr>
        <w:t>。</w:t>
      </w:r>
      <w:r>
        <w:rPr>
          <w:color w:val="auto"/>
        </w:rPr>
        <w:t>副中心以及多点地区2025年按照2万人设置一个</w:t>
      </w:r>
      <w:r>
        <w:rPr>
          <w:rFonts w:hint="eastAsia"/>
          <w:color w:val="auto"/>
          <w:lang w:eastAsia="zh-CN"/>
        </w:rPr>
        <w:t>社区</w:t>
      </w:r>
      <w:r>
        <w:rPr>
          <w:color w:val="auto"/>
        </w:rPr>
        <w:t>养老服务驿站计算</w:t>
      </w:r>
      <w:r>
        <w:rPr>
          <w:rFonts w:hint="eastAsia"/>
          <w:color w:val="auto"/>
        </w:rPr>
        <w:t>，</w:t>
      </w:r>
      <w:r>
        <w:rPr>
          <w:color w:val="auto"/>
        </w:rPr>
        <w:t>2035年按照1.3万人设置一个</w:t>
      </w:r>
      <w:r>
        <w:rPr>
          <w:rFonts w:hint="eastAsia"/>
          <w:color w:val="auto"/>
          <w:lang w:eastAsia="zh-CN"/>
        </w:rPr>
        <w:t>社区</w:t>
      </w:r>
      <w:r>
        <w:rPr>
          <w:color w:val="auto"/>
        </w:rPr>
        <w:t>养老服务驿站计算</w:t>
      </w:r>
      <w:r>
        <w:rPr>
          <w:rFonts w:hint="eastAsia"/>
          <w:color w:val="auto"/>
        </w:rPr>
        <w:t>。</w:t>
      </w:r>
      <w:r>
        <w:rPr>
          <w:color w:val="auto"/>
        </w:rPr>
        <w:t>生态涵养区2025年按照2万人设置</w:t>
      </w:r>
      <w:r>
        <w:rPr>
          <w:rFonts w:hint="eastAsia"/>
          <w:color w:val="auto"/>
        </w:rPr>
        <w:t>一</w:t>
      </w:r>
      <w:r>
        <w:rPr>
          <w:color w:val="auto"/>
        </w:rPr>
        <w:t>个</w:t>
      </w:r>
      <w:r>
        <w:rPr>
          <w:rFonts w:hint="eastAsia"/>
          <w:color w:val="auto"/>
          <w:lang w:eastAsia="zh-CN"/>
        </w:rPr>
        <w:t>社区</w:t>
      </w:r>
      <w:r>
        <w:rPr>
          <w:color w:val="auto"/>
        </w:rPr>
        <w:t>养老服务驿站计算</w:t>
      </w:r>
      <w:r>
        <w:rPr>
          <w:rFonts w:hint="eastAsia"/>
          <w:color w:val="auto"/>
        </w:rPr>
        <w:t>，</w:t>
      </w:r>
      <w:r>
        <w:rPr>
          <w:color w:val="auto"/>
        </w:rPr>
        <w:t>2035年按照0.8万人</w:t>
      </w:r>
      <w:r>
        <w:rPr>
          <w:rFonts w:hint="eastAsia"/>
          <w:color w:val="auto"/>
        </w:rPr>
        <w:t>设置一</w:t>
      </w:r>
      <w:r>
        <w:rPr>
          <w:color w:val="auto"/>
        </w:rPr>
        <w:t>个</w:t>
      </w:r>
      <w:r>
        <w:rPr>
          <w:rFonts w:hint="eastAsia"/>
          <w:color w:val="auto"/>
          <w:lang w:eastAsia="zh-CN"/>
        </w:rPr>
        <w:t>社区</w:t>
      </w:r>
      <w:r>
        <w:rPr>
          <w:color w:val="auto"/>
        </w:rPr>
        <w:t>养老服务驿站计算。</w:t>
      </w:r>
    </w:p>
    <w:p>
      <w:pPr>
        <w:pStyle w:val="4"/>
        <w:spacing w:before="205" w:after="205" w:line="560" w:lineRule="exact"/>
        <w:rPr>
          <w:color w:val="auto"/>
        </w:rPr>
      </w:pPr>
      <w:r>
        <w:rPr>
          <w:rFonts w:hint="eastAsia"/>
          <w:color w:val="auto"/>
        </w:rPr>
        <w:t>第</w:t>
      </w:r>
      <w:r>
        <w:rPr>
          <w:rFonts w:hint="eastAsia"/>
          <w:color w:val="auto"/>
          <w:lang w:val="en-US" w:eastAsia="zh-CN"/>
        </w:rPr>
        <w:t>5</w:t>
      </w:r>
      <w:r>
        <w:rPr>
          <w:rFonts w:hint="eastAsia"/>
          <w:color w:val="auto"/>
        </w:rPr>
        <w:t>6条 街道（乡镇）养老照料中心缺口数计算方法</w:t>
      </w:r>
    </w:p>
    <w:p>
      <w:pPr>
        <w:spacing w:line="560" w:lineRule="exact"/>
        <w:ind w:firstLine="600"/>
        <w:rPr>
          <w:color w:val="auto"/>
        </w:rPr>
      </w:pPr>
      <w:r>
        <w:rPr>
          <w:color w:val="auto"/>
        </w:rPr>
        <w:t>2025年按照已经标注出的应建未建空白</w:t>
      </w:r>
      <w:r>
        <w:rPr>
          <w:rFonts w:hint="eastAsia"/>
          <w:color w:val="auto"/>
        </w:rPr>
        <w:t>区域点位</w:t>
      </w:r>
      <w:r>
        <w:rPr>
          <w:color w:val="auto"/>
        </w:rPr>
        <w:t>设定建设目标</w:t>
      </w:r>
      <w:r>
        <w:rPr>
          <w:rFonts w:hint="eastAsia"/>
          <w:color w:val="auto"/>
        </w:rPr>
        <w:t>。</w:t>
      </w:r>
      <w:r>
        <w:rPr>
          <w:color w:val="auto"/>
        </w:rPr>
        <w:t>2035年按照每个街道</w:t>
      </w:r>
      <w:r>
        <w:rPr>
          <w:rFonts w:hint="eastAsia"/>
          <w:color w:val="auto"/>
        </w:rPr>
        <w:t>（乡镇）</w:t>
      </w:r>
      <w:r>
        <w:rPr>
          <w:color w:val="auto"/>
        </w:rPr>
        <w:t>设置一个养老照料中心</w:t>
      </w:r>
      <w:r>
        <w:rPr>
          <w:rFonts w:hint="eastAsia"/>
          <w:color w:val="auto"/>
        </w:rPr>
        <w:t>为</w:t>
      </w:r>
      <w:r>
        <w:rPr>
          <w:color w:val="auto"/>
        </w:rPr>
        <w:t>建设目标，针对老年人口密度高</w:t>
      </w:r>
      <w:r>
        <w:rPr>
          <w:rFonts w:hint="eastAsia"/>
          <w:color w:val="auto"/>
        </w:rPr>
        <w:t>的街道（乡镇）允许其</w:t>
      </w:r>
      <w:r>
        <w:rPr>
          <w:color w:val="auto"/>
        </w:rPr>
        <w:t>增加建设2</w:t>
      </w:r>
      <w:r>
        <w:rPr>
          <w:rFonts w:hint="eastAsia"/>
          <w:color w:val="auto"/>
        </w:rPr>
        <w:t>至</w:t>
      </w:r>
      <w:r>
        <w:rPr>
          <w:color w:val="auto"/>
        </w:rPr>
        <w:t>3个养老照料中心。</w:t>
      </w:r>
      <w:r>
        <w:rPr>
          <w:rFonts w:hint="eastAsia"/>
          <w:color w:val="auto"/>
        </w:rPr>
        <w:t>到</w:t>
      </w:r>
      <w:r>
        <w:rPr>
          <w:color w:val="auto"/>
        </w:rPr>
        <w:t>2035年</w:t>
      </w:r>
      <w:r>
        <w:rPr>
          <w:rFonts w:hint="eastAsia"/>
          <w:color w:val="auto"/>
        </w:rPr>
        <w:t>，全市</w:t>
      </w:r>
      <w:r>
        <w:rPr>
          <w:color w:val="auto"/>
        </w:rPr>
        <w:t>养老照料中心建设目标不低于379个。</w:t>
      </w:r>
      <w:bookmarkEnd w:id="339"/>
    </w:p>
    <w:p>
      <w:pPr>
        <w:pStyle w:val="4"/>
        <w:numPr>
          <w:numId w:val="0"/>
        </w:numPr>
        <w:spacing w:before="205" w:after="205" w:line="560" w:lineRule="exact"/>
        <w:rPr>
          <w:color w:val="auto"/>
        </w:rPr>
      </w:pPr>
      <w:r>
        <w:rPr>
          <w:rFonts w:hint="eastAsia"/>
          <w:color w:val="auto"/>
        </w:rPr>
        <w:t>第5</w:t>
      </w:r>
      <w:r>
        <w:rPr>
          <w:rFonts w:hint="eastAsia"/>
          <w:color w:val="auto"/>
          <w:lang w:val="en-US" w:eastAsia="zh-CN"/>
        </w:rPr>
        <w:t>7</w:t>
      </w:r>
      <w:r>
        <w:rPr>
          <w:rFonts w:hint="eastAsia"/>
          <w:color w:val="auto"/>
        </w:rPr>
        <w:t>条</w:t>
      </w:r>
      <w:r>
        <w:rPr>
          <w:rFonts w:hint="eastAsia"/>
          <w:color w:val="auto"/>
          <w:lang w:val="en-US" w:eastAsia="zh-CN"/>
        </w:rPr>
        <w:t xml:space="preserve"> </w:t>
      </w:r>
      <w:r>
        <w:rPr>
          <w:rFonts w:hint="eastAsia"/>
          <w:color w:val="auto"/>
        </w:rPr>
        <w:t>养老床位数缺口数计算方法</w:t>
      </w:r>
    </w:p>
    <w:p>
      <w:pPr>
        <w:spacing w:line="560" w:lineRule="exact"/>
        <w:ind w:firstLine="600"/>
        <w:rPr>
          <w:color w:val="auto"/>
        </w:rPr>
      </w:pPr>
      <w:bookmarkStart w:id="340" w:name="_Toc9067"/>
      <w:bookmarkStart w:id="341" w:name="_Toc901"/>
      <w:bookmarkStart w:id="342" w:name="_Toc3815"/>
      <w:bookmarkStart w:id="343" w:name="_Toc31056"/>
      <w:bookmarkStart w:id="344" w:name="_Toc20044"/>
      <w:bookmarkStart w:id="345" w:name="_Toc17825"/>
      <w:bookmarkStart w:id="346" w:name="_Toc5682"/>
      <w:r>
        <w:rPr>
          <w:rFonts w:hint="eastAsia"/>
          <w:color w:val="auto"/>
        </w:rPr>
        <w:t>全市养老床位的规划目标数=各区常住老年人口预测数*老年人失能率*中、重度失能率。</w:t>
      </w:r>
      <w:bookmarkEnd w:id="340"/>
    </w:p>
    <w:p>
      <w:pPr>
        <w:spacing w:line="560" w:lineRule="exact"/>
        <w:ind w:firstLine="600"/>
        <w:rPr>
          <w:rFonts w:hint="eastAsia"/>
          <w:color w:val="auto"/>
        </w:rPr>
      </w:pPr>
      <w:r>
        <w:rPr>
          <w:rFonts w:hint="eastAsia"/>
          <w:color w:val="auto"/>
        </w:rPr>
        <w:t>目前，关于老年人失能率，本规划采用近几次全市老年人状况抽样调查结果，即4.78%；关于中、重度失能率，本规划采用近几年全市老年人能力评估筛查结果，即70%。今后，各区要建立失能老年人监测制度，形成各区、各街乡镇的老年人失能率以及中、重度失能率，围绕区域老年人的长期照护需求，计算出养老床位数量。</w:t>
      </w:r>
    </w:p>
    <w:p>
      <w:pPr>
        <w:pStyle w:val="3"/>
        <w:spacing w:before="205" w:after="205"/>
        <w:rPr>
          <w:color w:val="auto"/>
        </w:rPr>
      </w:pPr>
      <w:bookmarkStart w:id="347" w:name="_Toc24266"/>
      <w:bookmarkStart w:id="348" w:name="_Toc344024568"/>
      <w:r>
        <w:rPr>
          <w:color w:val="auto"/>
        </w:rPr>
        <w:t>第</w:t>
      </w:r>
      <w:r>
        <w:rPr>
          <w:rFonts w:hint="eastAsia"/>
          <w:color w:val="auto"/>
        </w:rPr>
        <w:t>三节 分区引导空间布局</w:t>
      </w:r>
      <w:bookmarkEnd w:id="347"/>
      <w:bookmarkEnd w:id="348"/>
    </w:p>
    <w:p>
      <w:pPr>
        <w:widowControl w:val="0"/>
        <w:wordWrap/>
        <w:adjustRightInd/>
        <w:snapToGrid/>
        <w:spacing w:line="560" w:lineRule="exact"/>
        <w:ind w:firstLine="600"/>
        <w:textAlignment w:val="auto"/>
        <w:rPr>
          <w:color w:val="auto"/>
        </w:rPr>
      </w:pPr>
      <w:r>
        <w:rPr>
          <w:rFonts w:hint="eastAsia"/>
          <w:color w:val="auto"/>
        </w:rPr>
        <w:t>以</w:t>
      </w:r>
      <w:r>
        <w:rPr>
          <w:color w:val="auto"/>
        </w:rPr>
        <w:t>“一核一主一副、两轴多点一区”的城市空间结构</w:t>
      </w:r>
      <w:r>
        <w:rPr>
          <w:rFonts w:hint="eastAsia"/>
          <w:color w:val="auto"/>
        </w:rPr>
        <w:t>为基础和依据，</w:t>
      </w:r>
      <w:r>
        <w:rPr>
          <w:color w:val="auto"/>
        </w:rPr>
        <w:t>依托</w:t>
      </w:r>
      <w:r>
        <w:rPr>
          <w:rFonts w:hint="eastAsia"/>
          <w:color w:val="auto"/>
        </w:rPr>
        <w:t>各区域</w:t>
      </w:r>
      <w:r>
        <w:rPr>
          <w:color w:val="auto"/>
        </w:rPr>
        <w:t>现状条件和资源禀赋，分</w:t>
      </w:r>
      <w:r>
        <w:rPr>
          <w:rFonts w:hint="eastAsia"/>
          <w:color w:val="auto"/>
        </w:rPr>
        <w:t>区域</w:t>
      </w:r>
      <w:r>
        <w:rPr>
          <w:color w:val="auto"/>
        </w:rPr>
        <w:t>统筹养老服务资源，优化养老服务设施空间布局，突出各区域养老服务的发展重点。</w:t>
      </w:r>
    </w:p>
    <w:p>
      <w:pPr>
        <w:ind w:firstLine="600"/>
        <w:rPr>
          <w:color w:val="auto"/>
        </w:rPr>
      </w:pPr>
    </w:p>
    <w:p>
      <w:pPr>
        <w:ind w:firstLine="600"/>
        <w:rPr>
          <w:color w:val="auto"/>
        </w:rPr>
      </w:pPr>
    </w:p>
    <w:p>
      <w:pPr>
        <w:ind w:firstLine="600"/>
        <w:rPr>
          <w:color w:val="auto"/>
        </w:rPr>
      </w:pPr>
    </w:p>
    <w:p>
      <w:pPr>
        <w:ind w:firstLine="600"/>
        <w:rPr>
          <w:color w:val="auto"/>
        </w:rPr>
      </w:pPr>
    </w:p>
    <w:p>
      <w:pPr>
        <w:ind w:firstLine="600"/>
        <w:rPr>
          <w:color w:val="auto"/>
        </w:rPr>
      </w:pPr>
    </w:p>
    <w:p>
      <w:pPr>
        <w:ind w:firstLine="600"/>
        <w:rPr>
          <w:color w:val="auto"/>
        </w:rPr>
      </w:pPr>
    </w:p>
    <w:p>
      <w:pPr>
        <w:ind w:firstLine="600"/>
        <w:rPr>
          <w:color w:val="auto"/>
        </w:rPr>
      </w:pPr>
    </w:p>
    <w:p>
      <w:pPr>
        <w:ind w:firstLine="600"/>
        <w:rPr>
          <w:color w:val="auto"/>
        </w:rPr>
      </w:pPr>
    </w:p>
    <w:p>
      <w:pPr>
        <w:ind w:left="0" w:leftChars="0" w:firstLine="0" w:firstLineChars="0"/>
        <w:rPr>
          <w:color w:val="auto"/>
        </w:rPr>
      </w:pPr>
    </w:p>
    <w:p>
      <w:pPr>
        <w:pStyle w:val="4"/>
        <w:spacing w:before="205" w:after="205"/>
        <w:rPr>
          <w:color w:val="auto"/>
        </w:rPr>
      </w:pPr>
      <w:r>
        <w:rPr>
          <w:rFonts w:hint="eastAsia"/>
          <w:color w:val="auto"/>
        </w:rPr>
        <w:t>第</w:t>
      </w:r>
      <w:r>
        <w:rPr>
          <w:rFonts w:hint="eastAsia"/>
          <w:color w:val="auto"/>
          <w:lang w:val="en-US" w:eastAsia="zh-CN"/>
        </w:rPr>
        <w:t>5</w:t>
      </w:r>
      <w:r>
        <w:rPr>
          <w:rFonts w:hint="eastAsia"/>
          <w:color w:val="auto"/>
        </w:rPr>
        <w:t>8条 核心区布局</w:t>
      </w:r>
    </w:p>
    <w:p>
      <w:pPr>
        <w:spacing w:line="560" w:lineRule="exact"/>
        <w:ind w:firstLine="600"/>
        <w:rPr>
          <w:rFonts w:hint="eastAsia"/>
          <w:color w:val="auto"/>
        </w:rPr>
      </w:pPr>
      <w:r>
        <w:rPr>
          <w:rFonts w:hint="eastAsia"/>
          <w:color w:val="auto"/>
        </w:rPr>
        <w:t>北京市核心区人口密度大、老龄化程度较高，用地面积紧张，配套公建尚不健全。核心区即东城区和西城区，2035年引导需求合理流动至170万人</w:t>
      </w:r>
      <w:r>
        <w:rPr>
          <w:rFonts w:hint="eastAsia"/>
          <w:color w:val="auto"/>
          <w:lang w:eastAsia="zh-CN"/>
        </w:rPr>
        <w:t>左右</w:t>
      </w:r>
      <w:r>
        <w:rPr>
          <w:rFonts w:hint="eastAsia"/>
          <w:color w:val="auto"/>
        </w:rPr>
        <w:t>。由于早期社区公共配套设施严重不足，大多社区养老服务设施是利用旧建筑改扩建而成，受到原有建筑的空间和结构限制，很多设施的建筑环境存在较大缺憾。</w:t>
      </w:r>
    </w:p>
    <w:p>
      <w:pPr>
        <w:ind w:firstLine="0" w:firstLineChars="0"/>
        <w:jc w:val="center"/>
        <w:rPr>
          <w:color w:val="auto"/>
        </w:rPr>
      </w:pPr>
      <w:r>
        <w:rPr>
          <w:rFonts w:hint="eastAsia" w:ascii="黑体" w:hAnsi="黑体" w:eastAsia="黑体"/>
          <w:color w:val="auto"/>
        </w:rPr>
        <w:t>表</w:t>
      </w:r>
      <w:r>
        <w:rPr>
          <w:rFonts w:hint="eastAsia" w:ascii="黑体" w:hAnsi="黑体" w:eastAsia="黑体"/>
          <w:color w:val="auto"/>
          <w:lang w:val="en-US" w:eastAsia="zh-CN"/>
        </w:rPr>
        <w:t>2</w:t>
      </w:r>
      <w:r>
        <w:rPr>
          <w:rFonts w:hint="eastAsia" w:ascii="黑体" w:hAnsi="黑体" w:eastAsia="黑体"/>
          <w:color w:val="auto"/>
        </w:rPr>
        <w:t xml:space="preserve"> 核心区养老服务设施空间布局引导表</w:t>
      </w:r>
    </w:p>
    <w:tbl>
      <w:tblPr>
        <w:tblStyle w:val="39"/>
        <w:tblW w:w="9424"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31"/>
        <w:gridCol w:w="1087"/>
        <w:gridCol w:w="1087"/>
        <w:gridCol w:w="6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3305"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240" w:lineRule="auto"/>
              <w:ind w:firstLine="0" w:firstLineChars="0"/>
              <w:jc w:val="center"/>
              <w:rPr>
                <w:rFonts w:hint="eastAsia" w:ascii="黑体" w:hAnsi="黑体" w:eastAsia="黑体"/>
                <w:color w:val="auto"/>
                <w:sz w:val="22"/>
                <w:szCs w:val="22"/>
              </w:rPr>
            </w:pPr>
            <w:r>
              <w:rPr>
                <w:rFonts w:hint="eastAsia" w:ascii="黑体" w:hAnsi="黑体" w:eastAsia="黑体"/>
                <w:color w:val="auto"/>
                <w:sz w:val="22"/>
                <w:szCs w:val="22"/>
              </w:rPr>
              <w:t>养老服务设施规划指标</w:t>
            </w:r>
          </w:p>
        </w:tc>
        <w:tc>
          <w:tcPr>
            <w:tcW w:w="611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240" w:lineRule="auto"/>
              <w:ind w:firstLine="0" w:firstLineChars="0"/>
              <w:jc w:val="center"/>
              <w:rPr>
                <w:rFonts w:ascii="黑体" w:hAnsi="黑体"/>
                <w:b/>
                <w:bCs/>
                <w:color w:val="auto"/>
                <w:sz w:val="22"/>
                <w:szCs w:val="22"/>
              </w:rPr>
            </w:pPr>
            <w:r>
              <w:rPr>
                <w:rFonts w:hint="eastAsia" w:ascii="黑体" w:hAnsi="黑体" w:eastAsia="黑体"/>
                <w:color w:val="auto"/>
                <w:sz w:val="22"/>
                <w:szCs w:val="22"/>
              </w:rPr>
              <w:t>养老服务发展引导策略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2" w:hRule="atLeast"/>
        </w:trPr>
        <w:tc>
          <w:tcPr>
            <w:tcW w:w="1131" w:type="dxa"/>
            <w:tcBorders>
              <w:top w:val="single" w:color="auto" w:sz="4" w:space="0"/>
              <w:left w:val="single" w:color="000000" w:sz="4" w:space="0"/>
              <w:bottom w:val="single" w:color="000000" w:sz="4" w:space="0"/>
              <w:right w:val="single" w:color="000000" w:sz="4" w:space="0"/>
              <w:tl2br w:val="single" w:color="auto" w:sz="4" w:space="0"/>
            </w:tcBorders>
            <w:shd w:val="clear" w:color="auto" w:fill="FFFFFF"/>
            <w:tcMar>
              <w:top w:w="15" w:type="dxa"/>
              <w:left w:w="15" w:type="dxa"/>
              <w:right w:w="15" w:type="dxa"/>
            </w:tcMar>
            <w:vAlign w:val="center"/>
          </w:tcPr>
          <w:p>
            <w:pPr>
              <w:spacing w:line="200" w:lineRule="exact"/>
              <w:ind w:firstLine="0" w:firstLineChars="0"/>
              <w:jc w:val="center"/>
              <w:rPr>
                <w:rFonts w:ascii="黑体" w:hAnsi="黑体" w:eastAsia="黑体"/>
                <w:color w:val="auto"/>
                <w:sz w:val="22"/>
                <w:szCs w:val="28"/>
              </w:rPr>
            </w:pPr>
            <w:r>
              <w:rPr>
                <w:rFonts w:hint="eastAsia" w:ascii="黑体" w:hAnsi="黑体" w:eastAsia="黑体"/>
                <w:color w:val="auto"/>
                <w:sz w:val="22"/>
                <w:szCs w:val="28"/>
              </w:rPr>
              <w:t xml:space="preserve">     时间</w:t>
            </w:r>
          </w:p>
          <w:p>
            <w:pPr>
              <w:spacing w:line="200" w:lineRule="exact"/>
              <w:ind w:left="78" w:leftChars="26" w:firstLine="0" w:firstLineChars="0"/>
              <w:rPr>
                <w:rFonts w:ascii="黑体" w:hAnsi="黑体" w:eastAsia="黑体"/>
                <w:color w:val="auto"/>
                <w:sz w:val="22"/>
                <w:szCs w:val="28"/>
              </w:rPr>
            </w:pPr>
            <w:r>
              <w:rPr>
                <w:rFonts w:hint="eastAsia" w:ascii="黑体" w:hAnsi="黑体" w:eastAsia="黑体"/>
                <w:color w:val="auto"/>
                <w:sz w:val="22"/>
                <w:szCs w:val="28"/>
              </w:rPr>
              <w:t>名称</w:t>
            </w:r>
          </w:p>
        </w:tc>
        <w:tc>
          <w:tcPr>
            <w:tcW w:w="1087"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center"/>
              <w:rPr>
                <w:rFonts w:ascii="黑体" w:hAnsi="黑体" w:eastAsia="黑体"/>
                <w:color w:val="auto"/>
                <w:sz w:val="22"/>
                <w:szCs w:val="28"/>
              </w:rPr>
            </w:pPr>
            <w:r>
              <w:rPr>
                <w:rFonts w:hint="eastAsia" w:ascii="黑体" w:hAnsi="黑体" w:eastAsia="黑体"/>
                <w:color w:val="auto"/>
                <w:sz w:val="22"/>
                <w:szCs w:val="28"/>
              </w:rPr>
              <w:t>2025年</w:t>
            </w:r>
          </w:p>
        </w:tc>
        <w:tc>
          <w:tcPr>
            <w:tcW w:w="1087"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center"/>
              <w:rPr>
                <w:rFonts w:ascii="黑体" w:hAnsi="黑体" w:eastAsia="黑体"/>
                <w:color w:val="auto"/>
                <w:sz w:val="22"/>
                <w:szCs w:val="28"/>
              </w:rPr>
            </w:pPr>
            <w:r>
              <w:rPr>
                <w:rFonts w:hint="eastAsia" w:ascii="黑体" w:hAnsi="黑体" w:eastAsia="黑体"/>
                <w:color w:val="auto"/>
                <w:sz w:val="22"/>
                <w:szCs w:val="28"/>
              </w:rPr>
              <w:t>2035年</w:t>
            </w:r>
          </w:p>
        </w:tc>
        <w:tc>
          <w:tcPr>
            <w:tcW w:w="6119" w:type="dxa"/>
            <w:vMerge w:val="restar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textAlignment w:val="center"/>
              <w:rPr>
                <w:rFonts w:ascii="黑体" w:hAnsi="黑体"/>
                <w:color w:val="auto"/>
                <w:sz w:val="21"/>
                <w:szCs w:val="21"/>
              </w:rPr>
            </w:pPr>
            <w:r>
              <w:rPr>
                <w:rFonts w:hint="eastAsia" w:ascii="黑体" w:hAnsi="黑体"/>
                <w:color w:val="auto"/>
                <w:sz w:val="21"/>
                <w:szCs w:val="21"/>
              </w:rPr>
              <w:t>大力发展居家社区养老服务。在补齐短板、保障民生的同时，充分考虑功能疏解、减量发展的要求，逐步引导规模以上机构养老设施合理布局，原则上不再新增大型养老机构。鼓励将疏解腾退后的闲置设施和建筑改造为养老服务设施，多种途径补充养老空间，提供养老服务。</w:t>
            </w:r>
            <w:r>
              <w:rPr>
                <w:rFonts w:hint="eastAsia" w:ascii="黑体" w:hAnsi="黑体"/>
                <w:color w:val="auto"/>
                <w:sz w:val="21"/>
                <w:szCs w:val="21"/>
              </w:rPr>
              <w:br/>
            </w:r>
            <w:r>
              <w:rPr>
                <w:rFonts w:hint="eastAsia" w:ascii="黑体" w:hAnsi="黑体"/>
                <w:color w:val="auto"/>
                <w:sz w:val="21"/>
                <w:szCs w:val="21"/>
              </w:rPr>
              <w:t>推动与生态涵养区签署发展协议。探索利用生态涵养地块，将核心区的养老和康养需求“外扩”。</w:t>
            </w:r>
            <w:r>
              <w:rPr>
                <w:rFonts w:hint="eastAsia" w:ascii="黑体" w:hAnsi="黑体"/>
                <w:color w:val="auto"/>
                <w:sz w:val="21"/>
                <w:szCs w:val="21"/>
              </w:rPr>
              <w:br/>
            </w:r>
            <w:r>
              <w:rPr>
                <w:rFonts w:hint="eastAsia" w:ascii="黑体" w:hAnsi="黑体"/>
                <w:color w:val="auto"/>
                <w:sz w:val="21"/>
                <w:szCs w:val="21"/>
              </w:rPr>
              <w:t>探索多方式、多类型、多途径的供给方式。支持加密建设社区养老服务驿站等小微型养老服务设施，支持社区养老服务设施附着于已有小型养老服务机构，提高综合功能。</w:t>
            </w:r>
            <w:r>
              <w:rPr>
                <w:rFonts w:hint="eastAsia" w:ascii="黑体" w:hAnsi="黑体"/>
                <w:color w:val="auto"/>
                <w:sz w:val="21"/>
                <w:szCs w:val="21"/>
              </w:rPr>
              <w:br/>
            </w:r>
            <w:r>
              <w:rPr>
                <w:rFonts w:hint="eastAsia" w:ascii="黑体" w:hAnsi="黑体"/>
                <w:color w:val="auto"/>
                <w:sz w:val="21"/>
                <w:szCs w:val="21"/>
              </w:rPr>
              <w:t>探索“共生居住”养老模式。对于腾退的平房院落，通过适老化改造将房间更新为老年人的家庭单元。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5" w:hRule="atLeast"/>
        </w:trPr>
        <w:tc>
          <w:tcPr>
            <w:tcW w:w="11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ind w:firstLine="0" w:firstLineChars="0"/>
              <w:jc w:val="center"/>
              <w:rPr>
                <w:rFonts w:ascii="黑体" w:hAnsi="黑体"/>
                <w:color w:val="auto"/>
                <w:sz w:val="21"/>
                <w:szCs w:val="21"/>
              </w:rPr>
            </w:pPr>
            <w:r>
              <w:rPr>
                <w:rFonts w:hint="eastAsia" w:ascii="黑体" w:hAnsi="黑体"/>
                <w:color w:val="auto"/>
                <w:sz w:val="21"/>
                <w:szCs w:val="21"/>
              </w:rPr>
              <w:t>养老千人床位数（床）</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center"/>
              <w:rPr>
                <w:rFonts w:ascii="黑体" w:hAnsi="黑体"/>
                <w:color w:val="auto"/>
                <w:sz w:val="21"/>
                <w:szCs w:val="21"/>
              </w:rPr>
            </w:pPr>
            <w:r>
              <w:rPr>
                <w:rFonts w:hint="eastAsia" w:ascii="黑体" w:hAnsi="黑体"/>
                <w:color w:val="auto"/>
                <w:sz w:val="21"/>
                <w:szCs w:val="21"/>
              </w:rPr>
              <w:t>7.0</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center"/>
              <w:rPr>
                <w:rFonts w:ascii="黑体" w:hAnsi="黑体"/>
                <w:color w:val="auto"/>
                <w:sz w:val="21"/>
                <w:szCs w:val="21"/>
              </w:rPr>
            </w:pPr>
            <w:r>
              <w:rPr>
                <w:rFonts w:hint="eastAsia" w:ascii="黑体" w:hAnsi="黑体"/>
                <w:color w:val="auto"/>
                <w:sz w:val="21"/>
                <w:szCs w:val="21"/>
              </w:rPr>
              <w:t>9.5</w:t>
            </w:r>
          </w:p>
        </w:tc>
        <w:tc>
          <w:tcPr>
            <w:tcW w:w="61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left"/>
              <w:rPr>
                <w:rFonts w:ascii="黑体" w:hAnsi="黑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11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ind w:firstLine="0" w:firstLineChars="0"/>
              <w:jc w:val="center"/>
              <w:rPr>
                <w:rFonts w:ascii="黑体" w:hAnsi="黑体"/>
                <w:color w:val="auto"/>
                <w:sz w:val="21"/>
                <w:szCs w:val="21"/>
              </w:rPr>
            </w:pPr>
            <w:r>
              <w:rPr>
                <w:rFonts w:hint="eastAsia" w:ascii="黑体" w:hAnsi="黑体"/>
                <w:color w:val="auto"/>
                <w:sz w:val="21"/>
                <w:szCs w:val="21"/>
              </w:rPr>
              <w:t>养老床位数（床）</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ind w:firstLine="0" w:firstLineChars="0"/>
              <w:jc w:val="center"/>
              <w:rPr>
                <w:rFonts w:ascii="黑体" w:hAnsi="黑体"/>
                <w:color w:val="auto"/>
                <w:sz w:val="21"/>
                <w:szCs w:val="21"/>
              </w:rPr>
            </w:pPr>
            <w:r>
              <w:rPr>
                <w:rFonts w:hint="eastAsia" w:ascii="黑体" w:hAnsi="黑体"/>
                <w:color w:val="auto"/>
                <w:sz w:val="21"/>
                <w:szCs w:val="21"/>
              </w:rPr>
              <w:t>13160</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center"/>
              <w:rPr>
                <w:rFonts w:ascii="黑体" w:hAnsi="黑体"/>
                <w:color w:val="auto"/>
                <w:sz w:val="21"/>
                <w:szCs w:val="21"/>
              </w:rPr>
            </w:pPr>
            <w:r>
              <w:rPr>
                <w:rFonts w:hint="eastAsia" w:ascii="黑体" w:hAnsi="黑体"/>
                <w:color w:val="auto"/>
                <w:sz w:val="21"/>
                <w:szCs w:val="21"/>
              </w:rPr>
              <w:t>16150</w:t>
            </w:r>
          </w:p>
        </w:tc>
        <w:tc>
          <w:tcPr>
            <w:tcW w:w="61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left"/>
              <w:rPr>
                <w:rFonts w:ascii="黑体" w:hAnsi="黑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30" w:hRule="atLeast"/>
        </w:trPr>
        <w:tc>
          <w:tcPr>
            <w:tcW w:w="11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ind w:firstLine="0" w:firstLineChars="0"/>
              <w:jc w:val="center"/>
              <w:rPr>
                <w:rFonts w:ascii="黑体" w:hAnsi="黑体"/>
                <w:color w:val="auto"/>
                <w:sz w:val="21"/>
                <w:szCs w:val="21"/>
              </w:rPr>
            </w:pPr>
            <w:r>
              <w:rPr>
                <w:rFonts w:hint="eastAsia" w:ascii="黑体" w:hAnsi="黑体"/>
                <w:color w:val="auto"/>
                <w:sz w:val="21"/>
                <w:szCs w:val="21"/>
              </w:rPr>
              <w:t>养老设施千人建筑面积（平方米）</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center"/>
              <w:rPr>
                <w:rFonts w:ascii="黑体" w:hAnsi="黑体"/>
                <w:color w:val="auto"/>
                <w:sz w:val="21"/>
                <w:szCs w:val="21"/>
              </w:rPr>
            </w:pPr>
            <w:r>
              <w:rPr>
                <w:rFonts w:hint="eastAsia" w:ascii="黑体" w:hAnsi="黑体"/>
                <w:color w:val="auto"/>
                <w:sz w:val="21"/>
                <w:szCs w:val="21"/>
              </w:rPr>
              <w:t>315</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center"/>
              <w:rPr>
                <w:rFonts w:ascii="黑体" w:hAnsi="黑体"/>
                <w:color w:val="auto"/>
                <w:sz w:val="21"/>
                <w:szCs w:val="21"/>
              </w:rPr>
            </w:pPr>
            <w:r>
              <w:rPr>
                <w:rFonts w:hint="eastAsia" w:ascii="黑体" w:hAnsi="黑体"/>
                <w:color w:val="auto"/>
                <w:sz w:val="21"/>
                <w:szCs w:val="21"/>
              </w:rPr>
              <w:t>395</w:t>
            </w:r>
          </w:p>
        </w:tc>
        <w:tc>
          <w:tcPr>
            <w:tcW w:w="61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left"/>
              <w:rPr>
                <w:rFonts w:ascii="黑体" w:hAnsi="黑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0" w:hRule="atLeast"/>
        </w:trPr>
        <w:tc>
          <w:tcPr>
            <w:tcW w:w="11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ind w:firstLine="0" w:firstLineChars="0"/>
              <w:jc w:val="center"/>
              <w:rPr>
                <w:rFonts w:ascii="黑体" w:hAnsi="黑体"/>
                <w:color w:val="auto"/>
                <w:sz w:val="21"/>
                <w:szCs w:val="21"/>
              </w:rPr>
            </w:pPr>
            <w:r>
              <w:rPr>
                <w:rFonts w:hint="eastAsia" w:ascii="黑体" w:hAnsi="黑体"/>
                <w:color w:val="auto"/>
                <w:sz w:val="21"/>
                <w:szCs w:val="21"/>
              </w:rPr>
              <w:t>养老照料中心（个）</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center"/>
              <w:rPr>
                <w:rFonts w:ascii="黑体" w:hAnsi="黑体"/>
                <w:color w:val="auto"/>
                <w:sz w:val="21"/>
                <w:szCs w:val="21"/>
              </w:rPr>
            </w:pPr>
            <w:r>
              <w:rPr>
                <w:rFonts w:hint="eastAsia" w:ascii="黑体" w:hAnsi="黑体"/>
                <w:color w:val="auto"/>
                <w:sz w:val="21"/>
                <w:szCs w:val="21"/>
              </w:rPr>
              <w:t>46</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center"/>
              <w:rPr>
                <w:rFonts w:ascii="黑体" w:hAnsi="黑体"/>
                <w:color w:val="auto"/>
                <w:sz w:val="21"/>
                <w:szCs w:val="21"/>
              </w:rPr>
            </w:pPr>
            <w:r>
              <w:rPr>
                <w:rFonts w:hint="eastAsia" w:ascii="黑体" w:hAnsi="黑体"/>
                <w:color w:val="auto"/>
                <w:sz w:val="21"/>
                <w:szCs w:val="21"/>
              </w:rPr>
              <w:t>46</w:t>
            </w:r>
          </w:p>
        </w:tc>
        <w:tc>
          <w:tcPr>
            <w:tcW w:w="61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left"/>
              <w:rPr>
                <w:rFonts w:ascii="黑体" w:hAnsi="黑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90" w:hRule="atLeast"/>
        </w:trPr>
        <w:tc>
          <w:tcPr>
            <w:tcW w:w="11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社区养老服务驿站（个）</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center"/>
              <w:textAlignment w:val="center"/>
              <w:rPr>
                <w:rFonts w:ascii="黑体" w:hAnsi="黑体"/>
                <w:color w:val="auto"/>
                <w:sz w:val="21"/>
                <w:szCs w:val="21"/>
              </w:rPr>
            </w:pPr>
            <w:r>
              <w:rPr>
                <w:rFonts w:ascii="黑体" w:hAnsi="黑体"/>
                <w:color w:val="auto"/>
                <w:sz w:val="21"/>
                <w:szCs w:val="21"/>
              </w:rPr>
              <w:t>105</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center"/>
              <w:textAlignment w:val="center"/>
              <w:rPr>
                <w:rFonts w:ascii="黑体" w:hAnsi="黑体"/>
                <w:color w:val="auto"/>
                <w:sz w:val="21"/>
                <w:szCs w:val="21"/>
              </w:rPr>
            </w:pPr>
            <w:r>
              <w:rPr>
                <w:rFonts w:hint="eastAsia" w:ascii="黑体" w:hAnsi="黑体"/>
                <w:color w:val="auto"/>
                <w:sz w:val="21"/>
                <w:szCs w:val="21"/>
              </w:rPr>
              <w:t>1</w:t>
            </w:r>
            <w:r>
              <w:rPr>
                <w:rFonts w:ascii="黑体" w:hAnsi="黑体"/>
                <w:color w:val="auto"/>
                <w:sz w:val="21"/>
                <w:szCs w:val="21"/>
              </w:rPr>
              <w:t>05</w:t>
            </w:r>
          </w:p>
        </w:tc>
        <w:tc>
          <w:tcPr>
            <w:tcW w:w="61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jc w:val="left"/>
              <w:rPr>
                <w:rFonts w:ascii="黑体" w:hAnsi="黑体"/>
                <w:color w:val="auto"/>
                <w:sz w:val="21"/>
                <w:szCs w:val="21"/>
              </w:rPr>
            </w:pPr>
          </w:p>
        </w:tc>
      </w:tr>
    </w:tbl>
    <w:p>
      <w:pPr>
        <w:spacing w:line="560" w:lineRule="exact"/>
        <w:ind w:firstLine="600"/>
        <w:rPr>
          <w:rFonts w:hint="eastAsia"/>
          <w:color w:val="auto"/>
        </w:rPr>
      </w:pPr>
      <w:r>
        <w:rPr>
          <w:rFonts w:hint="eastAsia"/>
          <w:b/>
          <w:bCs/>
          <w:color w:val="auto"/>
        </w:rPr>
        <w:t>大力发展居家社区养老服务。</w:t>
      </w:r>
      <w:r>
        <w:rPr>
          <w:rFonts w:hint="eastAsia"/>
          <w:color w:val="auto"/>
        </w:rPr>
        <w:t>在补齐短板、保障民生的同时，充分考虑功能疏解、减量发展的要求，逐步引导规模以上机构养老设施合理布局，原则上不再新增大型养老机构。鼓励将疏解腾退后的闲置设施和建筑改造为养老服务设施，多种途径补充养老空间，提供养老服务。加强就近养老、就地养老，利用体制资源共建满足在京中央单位及驻京部队的养老服务需求，重点支持探索在京干休所、中央国家机关、中央企事业单位等离退休人员的养老服务分类解决方式。</w:t>
      </w:r>
    </w:p>
    <w:p>
      <w:pPr>
        <w:spacing w:line="560" w:lineRule="exact"/>
        <w:ind w:firstLine="600"/>
        <w:rPr>
          <w:rFonts w:hint="eastAsia"/>
          <w:color w:val="auto"/>
        </w:rPr>
      </w:pPr>
      <w:r>
        <w:rPr>
          <w:rFonts w:hint="eastAsia"/>
          <w:color w:val="auto"/>
        </w:rPr>
        <w:t>推动核心区与生态涵养区签署发展协议。探索利用生态涵养地块，将核心区的养老和康养需求“外扩”。缓解核心区土地资源紧张，推动核心区新建养老机构在生态涵养区落地，利用生态涵养区的土地资源新建老残儿为一体的福利机构。</w:t>
      </w:r>
    </w:p>
    <w:p>
      <w:pPr>
        <w:spacing w:line="560" w:lineRule="exact"/>
        <w:ind w:firstLine="600"/>
        <w:rPr>
          <w:rFonts w:hint="eastAsia"/>
          <w:color w:val="auto"/>
        </w:rPr>
      </w:pPr>
      <w:r>
        <w:rPr>
          <w:rFonts w:hint="eastAsia"/>
          <w:color w:val="auto"/>
        </w:rPr>
        <w:t>探索多方式、多类型、多途径供给方式。支持加密建设社区养老服务驿站等小微型养老服务设施，支持社区养老服务设施附着于已有养老服务机构，提高综合功能；根据老年人口密度，设施布局达到老年人步行十五分钟半径可以达到的距离，加强东西城跨区资源共享，方便老年人就近选择养老服务。</w:t>
      </w:r>
    </w:p>
    <w:p>
      <w:pPr>
        <w:spacing w:line="560" w:lineRule="exact"/>
        <w:ind w:firstLine="600"/>
        <w:rPr>
          <w:rFonts w:hint="eastAsia"/>
          <w:color w:val="auto"/>
        </w:rPr>
      </w:pPr>
      <w:r>
        <w:rPr>
          <w:rFonts w:hint="eastAsia"/>
          <w:color w:val="auto"/>
        </w:rPr>
        <w:t>探索“共生居住”养老模式。对于腾退的老旧小区楼房、平房院落，通过适老化改造将房间更新为老年人的家庭单元。为高龄、失能、失智老年人提供一种更适合的居家养老生活形态，提高居家养老服务的“身边”和“床边”覆盖率，有效降低医疗、护理服务的成本。</w:t>
      </w:r>
    </w:p>
    <w:p>
      <w:pPr>
        <w:pStyle w:val="4"/>
        <w:spacing w:before="205" w:after="205"/>
        <w:rPr>
          <w:rFonts w:hint="eastAsia"/>
          <w:color w:val="auto"/>
        </w:rPr>
      </w:pPr>
    </w:p>
    <w:p>
      <w:pPr>
        <w:rPr>
          <w:rFonts w:hint="eastAsia"/>
          <w:color w:val="auto"/>
        </w:rPr>
      </w:pPr>
    </w:p>
    <w:p>
      <w:pPr>
        <w:pStyle w:val="4"/>
        <w:spacing w:before="205" w:after="205"/>
        <w:rPr>
          <w:color w:val="auto"/>
        </w:rPr>
      </w:pPr>
      <w:r>
        <w:rPr>
          <w:rFonts w:hint="eastAsia"/>
          <w:color w:val="auto"/>
        </w:rPr>
        <w:t>第</w:t>
      </w:r>
      <w:r>
        <w:rPr>
          <w:rFonts w:hint="eastAsia"/>
          <w:color w:val="auto"/>
          <w:lang w:val="en-US" w:eastAsia="zh-CN"/>
        </w:rPr>
        <w:t>5</w:t>
      </w:r>
      <w:r>
        <w:rPr>
          <w:rFonts w:hint="eastAsia"/>
          <w:color w:val="auto"/>
        </w:rPr>
        <w:t>9条 中心城区布局</w:t>
      </w:r>
    </w:p>
    <w:p>
      <w:pPr>
        <w:spacing w:line="560" w:lineRule="exact"/>
        <w:ind w:firstLine="600"/>
        <w:rPr>
          <w:rFonts w:hint="eastAsia"/>
          <w:color w:val="auto"/>
        </w:rPr>
      </w:pPr>
      <w:r>
        <w:rPr>
          <w:rFonts w:hint="eastAsia"/>
          <w:color w:val="auto"/>
        </w:rPr>
        <w:t>中心城区是疏解非首都功能的重要地区。充分利用非首都功能疏解后存留的闲置设施进行改造提升，加密建设小微型养老服务设施，一般床位规模控制在50张至150张之间。到2025年，完成街道（乡镇）养老照料中心、社区养老服务驿站的规划建设任务。</w:t>
      </w:r>
    </w:p>
    <w:p>
      <w:pPr>
        <w:spacing w:before="205" w:beforeLines="50"/>
        <w:ind w:firstLine="0" w:firstLineChars="0"/>
        <w:jc w:val="center"/>
        <w:rPr>
          <w:color w:val="auto"/>
        </w:rPr>
      </w:pPr>
      <w:r>
        <w:rPr>
          <w:rFonts w:hint="eastAsia" w:ascii="黑体" w:hAnsi="黑体" w:eastAsia="黑体"/>
          <w:color w:val="auto"/>
        </w:rPr>
        <w:t>表</w:t>
      </w:r>
      <w:r>
        <w:rPr>
          <w:rFonts w:hint="eastAsia" w:ascii="黑体" w:hAnsi="黑体" w:eastAsia="黑体"/>
          <w:color w:val="auto"/>
          <w:lang w:val="en-US" w:eastAsia="zh-CN"/>
        </w:rPr>
        <w:t>3</w:t>
      </w:r>
      <w:r>
        <w:rPr>
          <w:rFonts w:hint="eastAsia" w:ascii="黑体" w:hAnsi="黑体" w:eastAsia="黑体"/>
          <w:color w:val="auto"/>
        </w:rPr>
        <w:t xml:space="preserve"> 中心城区养老服务设施空间布局引导表</w:t>
      </w:r>
    </w:p>
    <w:tbl>
      <w:tblPr>
        <w:tblStyle w:val="39"/>
        <w:tblW w:w="8944"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41"/>
        <w:gridCol w:w="997"/>
        <w:gridCol w:w="998"/>
        <w:gridCol w:w="58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1" w:hRule="atLeast"/>
        </w:trPr>
        <w:tc>
          <w:tcPr>
            <w:tcW w:w="3136"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240" w:lineRule="auto"/>
              <w:ind w:firstLine="0" w:firstLineChars="0"/>
              <w:jc w:val="center"/>
              <w:rPr>
                <w:rFonts w:hint="eastAsia" w:ascii="黑体" w:hAnsi="黑体" w:eastAsia="黑体"/>
                <w:color w:val="auto"/>
                <w:sz w:val="22"/>
                <w:szCs w:val="22"/>
              </w:rPr>
            </w:pPr>
            <w:r>
              <w:rPr>
                <w:rFonts w:hint="eastAsia" w:ascii="黑体" w:hAnsi="黑体" w:eastAsia="黑体"/>
                <w:color w:val="auto"/>
                <w:sz w:val="22"/>
                <w:szCs w:val="22"/>
              </w:rPr>
              <w:t>养老服务设施规划指标</w:t>
            </w:r>
          </w:p>
        </w:tc>
        <w:tc>
          <w:tcPr>
            <w:tcW w:w="580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240" w:lineRule="auto"/>
              <w:ind w:firstLine="0" w:firstLineChars="0"/>
              <w:jc w:val="center"/>
              <w:rPr>
                <w:rFonts w:ascii="黑体" w:hAnsi="黑体"/>
                <w:b/>
                <w:bCs/>
                <w:color w:val="auto"/>
                <w:sz w:val="21"/>
                <w:szCs w:val="21"/>
              </w:rPr>
            </w:pPr>
            <w:r>
              <w:rPr>
                <w:rFonts w:hint="eastAsia" w:ascii="黑体" w:hAnsi="黑体" w:eastAsia="黑体"/>
                <w:color w:val="auto"/>
                <w:sz w:val="22"/>
                <w:szCs w:val="22"/>
              </w:rPr>
              <w:t>养老服务发展引导策略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5" w:hRule="atLeast"/>
        </w:trPr>
        <w:tc>
          <w:tcPr>
            <w:tcW w:w="1141" w:type="dxa"/>
            <w:tcBorders>
              <w:top w:val="single" w:color="auto" w:sz="4" w:space="0"/>
              <w:left w:val="single" w:color="000000" w:sz="4" w:space="0"/>
              <w:bottom w:val="single" w:color="000000" w:sz="4" w:space="0"/>
              <w:right w:val="single" w:color="000000" w:sz="4" w:space="0"/>
              <w:tl2br w:val="single" w:color="auto" w:sz="4" w:space="0"/>
            </w:tcBorders>
            <w:shd w:val="clear" w:color="auto" w:fill="FFFFFF"/>
            <w:tcMar>
              <w:top w:w="15" w:type="dxa"/>
              <w:left w:w="15" w:type="dxa"/>
              <w:right w:w="15" w:type="dxa"/>
            </w:tcMar>
            <w:vAlign w:val="center"/>
          </w:tcPr>
          <w:p>
            <w:pPr>
              <w:spacing w:line="200" w:lineRule="exact"/>
              <w:ind w:firstLine="0" w:firstLineChars="0"/>
              <w:jc w:val="center"/>
              <w:rPr>
                <w:rFonts w:ascii="黑体" w:hAnsi="黑体" w:eastAsia="黑体"/>
                <w:color w:val="auto"/>
                <w:sz w:val="22"/>
                <w:szCs w:val="22"/>
              </w:rPr>
            </w:pPr>
            <w:r>
              <w:rPr>
                <w:rFonts w:hint="eastAsia" w:ascii="黑体" w:hAnsi="黑体" w:eastAsia="黑体"/>
                <w:color w:val="auto"/>
                <w:sz w:val="22"/>
                <w:szCs w:val="22"/>
              </w:rPr>
              <w:t xml:space="preserve">     时间</w:t>
            </w:r>
          </w:p>
          <w:p>
            <w:pPr>
              <w:spacing w:line="200" w:lineRule="exact"/>
              <w:ind w:left="99" w:leftChars="33" w:firstLine="0" w:firstLineChars="0"/>
              <w:rPr>
                <w:rFonts w:ascii="黑体" w:hAnsi="黑体" w:eastAsia="黑体"/>
                <w:color w:val="auto"/>
                <w:sz w:val="22"/>
                <w:szCs w:val="22"/>
              </w:rPr>
            </w:pPr>
            <w:r>
              <w:rPr>
                <w:rFonts w:hint="eastAsia" w:ascii="黑体" w:hAnsi="黑体" w:eastAsia="黑体"/>
                <w:color w:val="auto"/>
                <w:sz w:val="22"/>
                <w:szCs w:val="22"/>
              </w:rPr>
              <w:t>名称</w:t>
            </w:r>
          </w:p>
        </w:tc>
        <w:tc>
          <w:tcPr>
            <w:tcW w:w="997"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center"/>
              <w:rPr>
                <w:rFonts w:ascii="黑体" w:hAnsi="黑体" w:eastAsia="黑体"/>
                <w:color w:val="auto"/>
                <w:sz w:val="22"/>
                <w:szCs w:val="22"/>
              </w:rPr>
            </w:pPr>
            <w:r>
              <w:rPr>
                <w:rFonts w:hint="eastAsia" w:ascii="黑体" w:hAnsi="黑体" w:eastAsia="黑体"/>
                <w:color w:val="auto"/>
                <w:sz w:val="22"/>
                <w:szCs w:val="22"/>
              </w:rPr>
              <w:t>2025年</w:t>
            </w:r>
          </w:p>
        </w:tc>
        <w:tc>
          <w:tcPr>
            <w:tcW w:w="998"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center"/>
              <w:rPr>
                <w:rFonts w:ascii="黑体" w:hAnsi="黑体" w:eastAsia="黑体"/>
                <w:color w:val="auto"/>
                <w:sz w:val="22"/>
                <w:szCs w:val="22"/>
              </w:rPr>
            </w:pPr>
            <w:r>
              <w:rPr>
                <w:rFonts w:hint="eastAsia" w:ascii="黑体" w:hAnsi="黑体" w:eastAsia="黑体"/>
                <w:color w:val="auto"/>
                <w:sz w:val="22"/>
                <w:szCs w:val="22"/>
              </w:rPr>
              <w:t>2035年</w:t>
            </w:r>
          </w:p>
        </w:tc>
        <w:tc>
          <w:tcPr>
            <w:tcW w:w="5808" w:type="dxa"/>
            <w:vMerge w:val="restar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textAlignment w:val="center"/>
              <w:rPr>
                <w:rFonts w:ascii="黑体" w:hAnsi="黑体"/>
                <w:color w:val="auto"/>
                <w:sz w:val="21"/>
                <w:szCs w:val="21"/>
              </w:rPr>
            </w:pPr>
            <w:r>
              <w:rPr>
                <w:rFonts w:hint="eastAsia" w:ascii="黑体" w:hAnsi="黑体"/>
                <w:color w:val="auto"/>
                <w:sz w:val="21"/>
                <w:szCs w:val="21"/>
              </w:rPr>
              <w:t>控制养老机构建设规模，充分利用非首都功能疏解后存留的闲置设施进行改造提升，加密建设小微型养老服务设施，一般床位规模控制在50张至150张以内。完成街道（乡镇）养老照料中心、社区养老服务驿站的规划建设任务。</w:t>
            </w:r>
            <w:r>
              <w:rPr>
                <w:rFonts w:hint="eastAsia" w:ascii="黑体" w:hAnsi="黑体"/>
                <w:color w:val="auto"/>
                <w:sz w:val="21"/>
                <w:szCs w:val="21"/>
              </w:rPr>
              <w:br/>
            </w:r>
            <w:r>
              <w:rPr>
                <w:rFonts w:hint="eastAsia" w:ascii="黑体" w:hAnsi="黑体"/>
                <w:color w:val="auto"/>
                <w:sz w:val="21"/>
                <w:szCs w:val="21"/>
              </w:rPr>
              <w:t>盘活存量，共建共享。支持企事业单位采用多种途径，利用闲置资源建设养老机构或养老照料中心，鼓励利用社会各方养老服务资源，探索多种途径，形成共建共享、互利共赢的养老服务模式。通过腾退还绿、留白增绿，增加活动广场，为老年人提供更多游憩场所。充实完善本地区的机构养老服务设施，在充分满足本地养老需求的前提下，承接核心区转移的服务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8" w:hRule="atLeast"/>
        </w:trPr>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ind w:firstLine="0" w:firstLineChars="0"/>
              <w:jc w:val="center"/>
              <w:rPr>
                <w:rFonts w:ascii="黑体" w:hAnsi="黑体"/>
                <w:color w:val="auto"/>
                <w:sz w:val="21"/>
                <w:szCs w:val="21"/>
              </w:rPr>
            </w:pPr>
            <w:r>
              <w:rPr>
                <w:rFonts w:hint="eastAsia" w:ascii="黑体" w:hAnsi="黑体"/>
                <w:color w:val="auto"/>
                <w:sz w:val="21"/>
                <w:szCs w:val="21"/>
              </w:rPr>
              <w:t>养老千人床位数（床）</w:t>
            </w:r>
          </w:p>
        </w:tc>
        <w:tc>
          <w:tcPr>
            <w:tcW w:w="9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center"/>
              <w:rPr>
                <w:rFonts w:ascii="黑体" w:hAnsi="黑体"/>
                <w:color w:val="auto"/>
                <w:sz w:val="21"/>
                <w:szCs w:val="21"/>
              </w:rPr>
            </w:pPr>
            <w:r>
              <w:rPr>
                <w:rFonts w:hint="eastAsia" w:ascii="黑体" w:hAnsi="黑体"/>
                <w:color w:val="auto"/>
                <w:sz w:val="21"/>
                <w:szCs w:val="21"/>
              </w:rPr>
              <w:t>7.0</w:t>
            </w:r>
          </w:p>
        </w:tc>
        <w:tc>
          <w:tcPr>
            <w:tcW w:w="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center"/>
              <w:rPr>
                <w:rFonts w:ascii="黑体" w:hAnsi="黑体"/>
                <w:color w:val="auto"/>
                <w:sz w:val="21"/>
                <w:szCs w:val="21"/>
              </w:rPr>
            </w:pPr>
            <w:r>
              <w:rPr>
                <w:rFonts w:hint="eastAsia" w:ascii="黑体" w:hAnsi="黑体"/>
                <w:color w:val="auto"/>
                <w:sz w:val="21"/>
                <w:szCs w:val="21"/>
              </w:rPr>
              <w:t>9.5</w:t>
            </w:r>
          </w:p>
        </w:tc>
        <w:tc>
          <w:tcPr>
            <w:tcW w:w="580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left"/>
              <w:rPr>
                <w:rFonts w:ascii="宋体" w:hAnsi="宋体" w:eastAsia="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4" w:hRule="atLeast"/>
        </w:trPr>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ind w:firstLine="0" w:firstLineChars="0"/>
              <w:jc w:val="center"/>
              <w:rPr>
                <w:rFonts w:ascii="黑体" w:hAnsi="黑体"/>
                <w:color w:val="auto"/>
                <w:sz w:val="21"/>
                <w:szCs w:val="21"/>
              </w:rPr>
            </w:pPr>
            <w:r>
              <w:rPr>
                <w:rFonts w:hint="eastAsia" w:ascii="黑体" w:hAnsi="黑体"/>
                <w:color w:val="auto"/>
                <w:sz w:val="21"/>
                <w:szCs w:val="21"/>
              </w:rPr>
              <w:t>养老床位数（床）</w:t>
            </w:r>
          </w:p>
        </w:tc>
        <w:tc>
          <w:tcPr>
            <w:tcW w:w="9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center"/>
              <w:rPr>
                <w:rFonts w:ascii="黑体" w:hAnsi="黑体"/>
                <w:color w:val="auto"/>
                <w:sz w:val="21"/>
                <w:szCs w:val="21"/>
              </w:rPr>
            </w:pPr>
            <w:r>
              <w:rPr>
                <w:rFonts w:hint="eastAsia" w:ascii="黑体" w:hAnsi="黑体"/>
                <w:color w:val="auto"/>
                <w:sz w:val="21"/>
                <w:szCs w:val="21"/>
              </w:rPr>
              <w:t>62790</w:t>
            </w:r>
          </w:p>
        </w:tc>
        <w:tc>
          <w:tcPr>
            <w:tcW w:w="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center"/>
              <w:rPr>
                <w:rFonts w:ascii="黑体" w:hAnsi="黑体"/>
                <w:color w:val="auto"/>
                <w:sz w:val="21"/>
                <w:szCs w:val="21"/>
              </w:rPr>
            </w:pPr>
            <w:r>
              <w:rPr>
                <w:rFonts w:hint="eastAsia" w:ascii="黑体" w:hAnsi="黑体"/>
                <w:color w:val="auto"/>
                <w:sz w:val="21"/>
                <w:szCs w:val="21"/>
              </w:rPr>
              <w:t>85206</w:t>
            </w:r>
          </w:p>
        </w:tc>
        <w:tc>
          <w:tcPr>
            <w:tcW w:w="580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left"/>
              <w:rPr>
                <w:rFonts w:ascii="宋体" w:hAnsi="宋体" w:eastAsia="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6" w:hRule="atLeast"/>
        </w:trPr>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ind w:firstLine="0" w:firstLineChars="0"/>
              <w:jc w:val="center"/>
              <w:rPr>
                <w:rFonts w:ascii="黑体" w:hAnsi="黑体"/>
                <w:color w:val="auto"/>
                <w:sz w:val="21"/>
                <w:szCs w:val="21"/>
              </w:rPr>
            </w:pPr>
            <w:r>
              <w:rPr>
                <w:rFonts w:hint="eastAsia" w:ascii="黑体" w:hAnsi="黑体"/>
                <w:color w:val="auto"/>
                <w:sz w:val="21"/>
                <w:szCs w:val="21"/>
              </w:rPr>
              <w:t>养老设施千人建筑面积（平方米）</w:t>
            </w:r>
          </w:p>
        </w:tc>
        <w:tc>
          <w:tcPr>
            <w:tcW w:w="9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center"/>
              <w:rPr>
                <w:rFonts w:ascii="黑体" w:hAnsi="黑体"/>
                <w:color w:val="auto"/>
                <w:sz w:val="21"/>
                <w:szCs w:val="21"/>
              </w:rPr>
            </w:pPr>
            <w:r>
              <w:rPr>
                <w:rFonts w:hint="eastAsia" w:ascii="黑体" w:hAnsi="黑体"/>
                <w:color w:val="auto"/>
                <w:sz w:val="21"/>
                <w:szCs w:val="21"/>
              </w:rPr>
              <w:t>315</w:t>
            </w:r>
          </w:p>
        </w:tc>
        <w:tc>
          <w:tcPr>
            <w:tcW w:w="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center"/>
              <w:rPr>
                <w:rFonts w:ascii="黑体" w:hAnsi="黑体"/>
                <w:color w:val="auto"/>
                <w:sz w:val="21"/>
                <w:szCs w:val="21"/>
              </w:rPr>
            </w:pPr>
            <w:r>
              <w:rPr>
                <w:rFonts w:hint="eastAsia" w:ascii="黑体" w:hAnsi="黑体"/>
                <w:color w:val="auto"/>
                <w:sz w:val="21"/>
                <w:szCs w:val="21"/>
              </w:rPr>
              <w:t>395</w:t>
            </w:r>
          </w:p>
        </w:tc>
        <w:tc>
          <w:tcPr>
            <w:tcW w:w="580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left"/>
              <w:rPr>
                <w:rFonts w:ascii="宋体" w:hAnsi="宋体" w:eastAsia="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2" w:hRule="atLeast"/>
        </w:trPr>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ind w:firstLine="0" w:firstLineChars="0"/>
              <w:jc w:val="center"/>
              <w:rPr>
                <w:rFonts w:ascii="黑体" w:hAnsi="黑体"/>
                <w:color w:val="auto"/>
                <w:sz w:val="21"/>
                <w:szCs w:val="21"/>
              </w:rPr>
            </w:pPr>
            <w:r>
              <w:rPr>
                <w:rFonts w:hint="eastAsia" w:ascii="黑体" w:hAnsi="黑体"/>
                <w:color w:val="auto"/>
                <w:sz w:val="21"/>
                <w:szCs w:val="21"/>
              </w:rPr>
              <w:t>养老照料中心（个）</w:t>
            </w:r>
          </w:p>
        </w:tc>
        <w:tc>
          <w:tcPr>
            <w:tcW w:w="9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center"/>
              <w:rPr>
                <w:rFonts w:ascii="黑体" w:hAnsi="黑体"/>
                <w:color w:val="auto"/>
                <w:sz w:val="21"/>
                <w:szCs w:val="21"/>
              </w:rPr>
            </w:pPr>
            <w:r>
              <w:rPr>
                <w:rFonts w:hint="eastAsia" w:ascii="黑体" w:hAnsi="黑体"/>
                <w:color w:val="auto"/>
                <w:sz w:val="21"/>
                <w:szCs w:val="21"/>
              </w:rPr>
              <w:t>142</w:t>
            </w:r>
          </w:p>
        </w:tc>
        <w:tc>
          <w:tcPr>
            <w:tcW w:w="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center"/>
              <w:rPr>
                <w:rFonts w:ascii="黑体" w:hAnsi="黑体"/>
                <w:color w:val="auto"/>
                <w:sz w:val="21"/>
                <w:szCs w:val="21"/>
              </w:rPr>
            </w:pPr>
            <w:r>
              <w:rPr>
                <w:rFonts w:hint="eastAsia" w:ascii="黑体" w:hAnsi="黑体"/>
                <w:color w:val="auto"/>
                <w:sz w:val="21"/>
                <w:szCs w:val="21"/>
              </w:rPr>
              <w:t>142</w:t>
            </w:r>
          </w:p>
        </w:tc>
        <w:tc>
          <w:tcPr>
            <w:tcW w:w="580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left"/>
              <w:rPr>
                <w:rFonts w:ascii="宋体" w:hAnsi="宋体" w:eastAsia="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7" w:hRule="atLeast"/>
        </w:trPr>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ind w:firstLine="0" w:firstLineChars="0"/>
              <w:jc w:val="center"/>
              <w:rPr>
                <w:rFonts w:ascii="黑体" w:hAnsi="黑体"/>
                <w:color w:val="auto"/>
                <w:sz w:val="21"/>
                <w:szCs w:val="21"/>
              </w:rPr>
            </w:pPr>
            <w:r>
              <w:rPr>
                <w:rFonts w:hint="eastAsia" w:ascii="黑体" w:hAnsi="黑体"/>
                <w:color w:val="auto"/>
                <w:sz w:val="21"/>
                <w:szCs w:val="21"/>
              </w:rPr>
              <w:t>社区养老服务驿站（个）</w:t>
            </w:r>
          </w:p>
        </w:tc>
        <w:tc>
          <w:tcPr>
            <w:tcW w:w="9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center"/>
              <w:rPr>
                <w:rFonts w:ascii="黑体" w:hAnsi="黑体"/>
                <w:color w:val="auto"/>
                <w:sz w:val="21"/>
                <w:szCs w:val="21"/>
              </w:rPr>
            </w:pPr>
            <w:r>
              <w:rPr>
                <w:rFonts w:ascii="黑体" w:hAnsi="黑体"/>
                <w:color w:val="auto"/>
                <w:sz w:val="21"/>
                <w:szCs w:val="21"/>
              </w:rPr>
              <w:t>460</w:t>
            </w:r>
          </w:p>
        </w:tc>
        <w:tc>
          <w:tcPr>
            <w:tcW w:w="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center"/>
              <w:rPr>
                <w:rFonts w:ascii="黑体" w:hAnsi="黑体"/>
                <w:color w:val="auto"/>
                <w:sz w:val="21"/>
                <w:szCs w:val="21"/>
              </w:rPr>
            </w:pPr>
            <w:r>
              <w:rPr>
                <w:rFonts w:hint="eastAsia" w:ascii="黑体" w:hAnsi="黑体"/>
                <w:color w:val="auto"/>
                <w:sz w:val="21"/>
                <w:szCs w:val="21"/>
              </w:rPr>
              <w:t>460</w:t>
            </w:r>
          </w:p>
        </w:tc>
        <w:tc>
          <w:tcPr>
            <w:tcW w:w="580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left"/>
              <w:rPr>
                <w:rFonts w:ascii="宋体" w:hAnsi="宋体" w:eastAsia="宋体" w:cs="宋体"/>
                <w:color w:val="auto"/>
                <w:sz w:val="22"/>
                <w:szCs w:val="22"/>
              </w:rPr>
            </w:pPr>
          </w:p>
        </w:tc>
      </w:tr>
    </w:tbl>
    <w:p>
      <w:pPr>
        <w:spacing w:line="560" w:lineRule="exact"/>
        <w:ind w:firstLine="600"/>
        <w:rPr>
          <w:rFonts w:hint="eastAsia"/>
          <w:color w:val="auto"/>
        </w:rPr>
      </w:pPr>
      <w:r>
        <w:rPr>
          <w:rFonts w:hint="eastAsia"/>
          <w:b/>
          <w:bCs/>
          <w:color w:val="auto"/>
        </w:rPr>
        <w:t>盘活存量，共建共享。</w:t>
      </w:r>
      <w:r>
        <w:rPr>
          <w:rFonts w:hint="eastAsia"/>
          <w:color w:val="auto"/>
        </w:rPr>
        <w:t>支持企事业单位采用多种途径，利用闲置资源建设养老机构或养老照料中心，鼓励利用社会各方养老服务资源，探索多种途径，形成共建共享、互利共赢的养老服务模式。通过腾退还绿、留白增绿，增加活动广场，为老年人提供更多游憩场所。在充分满足本地养老需求的前提下，承接核心区转移的服务需求。</w:t>
      </w:r>
    </w:p>
    <w:p>
      <w:pPr>
        <w:pStyle w:val="4"/>
        <w:spacing w:before="205" w:after="205"/>
        <w:rPr>
          <w:color w:val="auto"/>
        </w:rPr>
      </w:pPr>
      <w:r>
        <w:rPr>
          <w:rFonts w:hint="eastAsia"/>
          <w:color w:val="auto"/>
        </w:rPr>
        <w:t>第</w:t>
      </w:r>
      <w:r>
        <w:rPr>
          <w:rFonts w:hint="eastAsia"/>
          <w:color w:val="auto"/>
          <w:lang w:val="en-US" w:eastAsia="zh-CN"/>
        </w:rPr>
        <w:t>6</w:t>
      </w:r>
      <w:r>
        <w:rPr>
          <w:rFonts w:hint="eastAsia"/>
          <w:color w:val="auto"/>
        </w:rPr>
        <w:t>0条 副中心布局</w:t>
      </w:r>
    </w:p>
    <w:p>
      <w:pPr>
        <w:spacing w:line="560" w:lineRule="exact"/>
        <w:ind w:firstLine="600"/>
        <w:rPr>
          <w:rFonts w:hint="eastAsia"/>
          <w:color w:val="auto"/>
        </w:rPr>
      </w:pPr>
      <w:r>
        <w:rPr>
          <w:rFonts w:hint="eastAsia"/>
          <w:color w:val="auto"/>
          <w:lang w:eastAsia="zh-CN"/>
        </w:rPr>
        <w:t>城市副中心及外围控制区（即通州全区）</w:t>
      </w:r>
      <w:r>
        <w:rPr>
          <w:rFonts w:hint="eastAsia"/>
          <w:color w:val="auto"/>
        </w:rPr>
        <w:t>紧紧围绕对接中心城区功能，发挥疏解非首都功能的示范作用。</w:t>
      </w:r>
    </w:p>
    <w:p>
      <w:pPr>
        <w:spacing w:before="205" w:beforeLines="50"/>
        <w:ind w:firstLine="0" w:firstLineChars="0"/>
        <w:jc w:val="center"/>
        <w:rPr>
          <w:color w:val="auto"/>
        </w:rPr>
      </w:pPr>
      <w:r>
        <w:rPr>
          <w:rFonts w:hint="eastAsia" w:ascii="黑体" w:hAnsi="黑体" w:eastAsia="黑体"/>
          <w:color w:val="auto"/>
        </w:rPr>
        <w:t>表</w:t>
      </w:r>
      <w:r>
        <w:rPr>
          <w:rFonts w:ascii="黑体" w:hAnsi="黑体" w:eastAsia="黑体"/>
          <w:color w:val="auto"/>
        </w:rPr>
        <w:t>4</w:t>
      </w:r>
      <w:r>
        <w:rPr>
          <w:rFonts w:hint="eastAsia" w:ascii="黑体" w:hAnsi="黑体" w:eastAsia="黑体"/>
          <w:color w:val="auto"/>
        </w:rPr>
        <w:t xml:space="preserve"> 副中心养老服务设施空间布局引导表</w:t>
      </w:r>
    </w:p>
    <w:tbl>
      <w:tblPr>
        <w:tblStyle w:val="39"/>
        <w:tblW w:w="871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34"/>
        <w:gridCol w:w="989"/>
        <w:gridCol w:w="991"/>
        <w:gridCol w:w="55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3" w:hRule="atLeast"/>
        </w:trPr>
        <w:tc>
          <w:tcPr>
            <w:tcW w:w="3114"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240" w:lineRule="auto"/>
              <w:ind w:firstLine="0" w:firstLineChars="0"/>
              <w:jc w:val="center"/>
              <w:rPr>
                <w:rFonts w:hint="eastAsia" w:ascii="黑体" w:hAnsi="黑体" w:eastAsia="黑体"/>
                <w:color w:val="auto"/>
                <w:sz w:val="22"/>
                <w:szCs w:val="22"/>
              </w:rPr>
            </w:pPr>
            <w:r>
              <w:rPr>
                <w:rFonts w:hint="eastAsia" w:ascii="黑体" w:hAnsi="黑体" w:eastAsia="黑体"/>
                <w:color w:val="auto"/>
                <w:sz w:val="22"/>
                <w:szCs w:val="22"/>
              </w:rPr>
              <w:t>养老服务设施规划指标</w:t>
            </w:r>
          </w:p>
        </w:tc>
        <w:tc>
          <w:tcPr>
            <w:tcW w:w="55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240" w:lineRule="auto"/>
              <w:ind w:firstLine="0" w:firstLineChars="0"/>
              <w:jc w:val="center"/>
              <w:rPr>
                <w:rFonts w:ascii="黑体" w:hAnsi="黑体" w:eastAsia="黑体"/>
                <w:color w:val="auto"/>
                <w:sz w:val="22"/>
                <w:szCs w:val="22"/>
              </w:rPr>
            </w:pPr>
            <w:r>
              <w:rPr>
                <w:rFonts w:hint="eastAsia" w:ascii="黑体" w:hAnsi="黑体" w:eastAsia="黑体"/>
                <w:color w:val="auto"/>
                <w:sz w:val="22"/>
                <w:szCs w:val="22"/>
              </w:rPr>
              <w:t>养老服务发展引导策略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9" w:hRule="atLeast"/>
        </w:trPr>
        <w:tc>
          <w:tcPr>
            <w:tcW w:w="1134" w:type="dxa"/>
            <w:tcBorders>
              <w:top w:val="single" w:color="auto" w:sz="4" w:space="0"/>
              <w:left w:val="single" w:color="000000" w:sz="4" w:space="0"/>
              <w:bottom w:val="single" w:color="000000" w:sz="4" w:space="0"/>
              <w:right w:val="single" w:color="000000" w:sz="4" w:space="0"/>
              <w:tl2br w:val="single" w:color="auto" w:sz="4" w:space="0"/>
            </w:tcBorders>
            <w:shd w:val="clear" w:color="auto" w:fill="FFFFFF"/>
            <w:tcMar>
              <w:top w:w="15" w:type="dxa"/>
              <w:left w:w="15" w:type="dxa"/>
              <w:right w:w="15" w:type="dxa"/>
            </w:tcMar>
            <w:vAlign w:val="center"/>
          </w:tcPr>
          <w:p>
            <w:pPr>
              <w:spacing w:line="200" w:lineRule="exact"/>
              <w:ind w:firstLine="0" w:firstLineChars="0"/>
              <w:jc w:val="center"/>
              <w:rPr>
                <w:rFonts w:ascii="黑体" w:hAnsi="黑体" w:eastAsia="黑体"/>
                <w:color w:val="auto"/>
                <w:sz w:val="22"/>
                <w:szCs w:val="22"/>
              </w:rPr>
            </w:pPr>
            <w:r>
              <w:rPr>
                <w:rFonts w:hint="eastAsia" w:ascii="黑体" w:hAnsi="黑体" w:eastAsia="黑体"/>
                <w:color w:val="auto"/>
                <w:sz w:val="22"/>
                <w:szCs w:val="22"/>
              </w:rPr>
              <w:t xml:space="preserve">     时间</w:t>
            </w:r>
          </w:p>
          <w:p>
            <w:pPr>
              <w:spacing w:line="200" w:lineRule="exact"/>
              <w:ind w:left="99" w:leftChars="33" w:firstLine="0" w:firstLineChars="0"/>
              <w:rPr>
                <w:rFonts w:ascii="黑体" w:hAnsi="黑体" w:eastAsia="黑体"/>
                <w:color w:val="auto"/>
                <w:sz w:val="22"/>
                <w:szCs w:val="22"/>
              </w:rPr>
            </w:pPr>
            <w:r>
              <w:rPr>
                <w:rFonts w:hint="eastAsia" w:ascii="黑体" w:hAnsi="黑体" w:eastAsia="黑体"/>
                <w:color w:val="auto"/>
                <w:sz w:val="22"/>
                <w:szCs w:val="22"/>
              </w:rPr>
              <w:t>名称</w:t>
            </w:r>
          </w:p>
        </w:tc>
        <w:tc>
          <w:tcPr>
            <w:tcW w:w="989"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center"/>
              <w:rPr>
                <w:rFonts w:ascii="黑体" w:hAnsi="黑体" w:eastAsia="黑体"/>
                <w:color w:val="auto"/>
                <w:sz w:val="22"/>
                <w:szCs w:val="22"/>
              </w:rPr>
            </w:pPr>
            <w:r>
              <w:rPr>
                <w:rFonts w:hint="eastAsia" w:ascii="黑体" w:hAnsi="黑体" w:eastAsia="黑体"/>
                <w:color w:val="auto"/>
                <w:sz w:val="22"/>
                <w:szCs w:val="22"/>
              </w:rPr>
              <w:t>2025年</w:t>
            </w:r>
          </w:p>
        </w:tc>
        <w:tc>
          <w:tcPr>
            <w:tcW w:w="991"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center"/>
              <w:rPr>
                <w:rFonts w:ascii="黑体" w:hAnsi="黑体" w:eastAsia="黑体"/>
                <w:color w:val="auto"/>
                <w:sz w:val="22"/>
                <w:szCs w:val="22"/>
              </w:rPr>
            </w:pPr>
            <w:r>
              <w:rPr>
                <w:rFonts w:hint="eastAsia" w:ascii="黑体" w:hAnsi="黑体" w:eastAsia="黑体"/>
                <w:color w:val="auto"/>
                <w:sz w:val="22"/>
                <w:szCs w:val="22"/>
              </w:rPr>
              <w:t>2035年</w:t>
            </w:r>
          </w:p>
        </w:tc>
        <w:tc>
          <w:tcPr>
            <w:tcW w:w="5596" w:type="dxa"/>
            <w:vMerge w:val="restar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textAlignment w:val="center"/>
              <w:rPr>
                <w:rFonts w:ascii="黑体" w:hAnsi="黑体"/>
                <w:color w:val="auto"/>
                <w:sz w:val="21"/>
                <w:szCs w:val="21"/>
              </w:rPr>
            </w:pPr>
            <w:r>
              <w:rPr>
                <w:rFonts w:hint="eastAsia" w:ascii="黑体" w:hAnsi="黑体"/>
                <w:color w:val="auto"/>
                <w:sz w:val="21"/>
                <w:szCs w:val="21"/>
              </w:rPr>
              <w:t>重点提高居家和社区养老服务保障能力。充分发挥城市副中心在新城发展中的示范引领作用，引领顺义、平谷、大兴（亦庄）等东部各区联动发展，本地以中小型养老服务设施为主，结合家园中心建设，鼓励养老服务设施、公益性福利设施和医疗设施临近设置，共享共建，保障就地养老、就近养老需求。</w:t>
            </w:r>
            <w:r>
              <w:rPr>
                <w:rFonts w:hint="eastAsia" w:ascii="黑体" w:hAnsi="黑体"/>
                <w:color w:val="auto"/>
                <w:sz w:val="21"/>
                <w:szCs w:val="21"/>
              </w:rPr>
              <w:br/>
            </w:r>
            <w:r>
              <w:rPr>
                <w:rFonts w:hint="eastAsia" w:ascii="黑体" w:hAnsi="黑体"/>
                <w:color w:val="auto"/>
                <w:sz w:val="21"/>
                <w:szCs w:val="21"/>
              </w:rPr>
              <w:t>实现与廊坊北三县地区统筹</w:t>
            </w:r>
            <w:r>
              <w:rPr>
                <w:rFonts w:hint="eastAsia" w:ascii="黑体" w:hAnsi="黑体"/>
                <w:color w:val="auto"/>
                <w:sz w:val="21"/>
                <w:szCs w:val="21"/>
                <w:lang w:eastAsia="zh-CN"/>
              </w:rPr>
              <w:t>协同</w:t>
            </w:r>
            <w:r>
              <w:rPr>
                <w:rFonts w:hint="eastAsia" w:ascii="黑体" w:hAnsi="黑体"/>
                <w:color w:val="auto"/>
                <w:sz w:val="21"/>
                <w:szCs w:val="21"/>
              </w:rPr>
              <w:t>发展，以承接中心城区功能和人口流动为出发点，盘活存量、做优增量。建设高品质、复合型的养老机构，整体提升通州区养老服务水平。做好与北三县的统筹规划。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养老千人床位数（床）</w:t>
            </w:r>
          </w:p>
        </w:tc>
        <w:tc>
          <w:tcPr>
            <w:tcW w:w="9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7.0</w:t>
            </w:r>
          </w:p>
        </w:tc>
        <w:tc>
          <w:tcPr>
            <w:tcW w:w="9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9.5</w:t>
            </w:r>
          </w:p>
        </w:tc>
        <w:tc>
          <w:tcPr>
            <w:tcW w:w="559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left"/>
              <w:rPr>
                <w:rFonts w:ascii="宋体" w:hAnsi="宋体" w:eastAsia="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4" w:hRule="atLeast"/>
        </w:trPr>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养老床位数（床）</w:t>
            </w:r>
          </w:p>
        </w:tc>
        <w:tc>
          <w:tcPr>
            <w:tcW w:w="9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12040-</w:t>
            </w:r>
          </w:p>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12180</w:t>
            </w:r>
          </w:p>
        </w:tc>
        <w:tc>
          <w:tcPr>
            <w:tcW w:w="9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19000-</w:t>
            </w:r>
          </w:p>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19475</w:t>
            </w:r>
          </w:p>
        </w:tc>
        <w:tc>
          <w:tcPr>
            <w:tcW w:w="559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left"/>
              <w:rPr>
                <w:rFonts w:ascii="宋体" w:hAnsi="宋体" w:eastAsia="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2" w:hRule="atLeast"/>
        </w:trPr>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养老设施千人建筑面积（平方米）</w:t>
            </w:r>
          </w:p>
        </w:tc>
        <w:tc>
          <w:tcPr>
            <w:tcW w:w="9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385</w:t>
            </w:r>
          </w:p>
        </w:tc>
        <w:tc>
          <w:tcPr>
            <w:tcW w:w="9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490</w:t>
            </w:r>
          </w:p>
        </w:tc>
        <w:tc>
          <w:tcPr>
            <w:tcW w:w="559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left"/>
              <w:rPr>
                <w:rFonts w:ascii="宋体" w:hAnsi="宋体" w:eastAsia="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3" w:hRule="atLeast"/>
        </w:trPr>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养老照料中心（个）</w:t>
            </w:r>
          </w:p>
        </w:tc>
        <w:tc>
          <w:tcPr>
            <w:tcW w:w="9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20</w:t>
            </w:r>
          </w:p>
        </w:tc>
        <w:tc>
          <w:tcPr>
            <w:tcW w:w="9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20</w:t>
            </w:r>
          </w:p>
        </w:tc>
        <w:tc>
          <w:tcPr>
            <w:tcW w:w="559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left"/>
              <w:rPr>
                <w:rFonts w:ascii="宋体" w:hAnsi="宋体" w:eastAsia="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4" w:hRule="atLeast"/>
        </w:trPr>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社区养老服务驿站（个）</w:t>
            </w:r>
          </w:p>
        </w:tc>
        <w:tc>
          <w:tcPr>
            <w:tcW w:w="9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ascii="黑体" w:hAnsi="黑体"/>
                <w:color w:val="auto"/>
                <w:sz w:val="21"/>
                <w:szCs w:val="21"/>
              </w:rPr>
              <w:t>97</w:t>
            </w:r>
          </w:p>
        </w:tc>
        <w:tc>
          <w:tcPr>
            <w:tcW w:w="9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ascii="黑体" w:hAnsi="黑体"/>
                <w:color w:val="auto"/>
                <w:sz w:val="21"/>
                <w:szCs w:val="21"/>
              </w:rPr>
              <w:t>158</w:t>
            </w:r>
          </w:p>
        </w:tc>
        <w:tc>
          <w:tcPr>
            <w:tcW w:w="559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left"/>
              <w:rPr>
                <w:rFonts w:ascii="宋体" w:hAnsi="宋体" w:eastAsia="宋体" w:cs="宋体"/>
                <w:color w:val="auto"/>
                <w:sz w:val="22"/>
                <w:szCs w:val="22"/>
              </w:rPr>
            </w:pPr>
          </w:p>
        </w:tc>
      </w:tr>
    </w:tbl>
    <w:p>
      <w:pPr>
        <w:spacing w:line="560" w:lineRule="exact"/>
        <w:ind w:firstLine="600"/>
        <w:rPr>
          <w:rFonts w:hint="eastAsia"/>
          <w:color w:val="auto"/>
        </w:rPr>
      </w:pPr>
      <w:r>
        <w:rPr>
          <w:rFonts w:hint="eastAsia"/>
          <w:b/>
          <w:bCs/>
          <w:color w:val="auto"/>
        </w:rPr>
        <w:t>重点提高居家和社区养老服务保障能力。</w:t>
      </w:r>
      <w:r>
        <w:rPr>
          <w:rFonts w:hint="eastAsia"/>
          <w:color w:val="auto"/>
        </w:rPr>
        <w:t>充分发挥城市副中心在新城发展中的示范引领作用，引领顺义、平谷、大兴（亦庄）等东部各区联动发展，本地以中小型养老服务设施为主，结合家园中心建设，鼓励养老服务设施、公益性福利设施和医疗设施临近设置，共享共建，保障就地养老、就近养老需求。</w:t>
      </w:r>
    </w:p>
    <w:p>
      <w:pPr>
        <w:pStyle w:val="4"/>
        <w:spacing w:before="205" w:after="205"/>
        <w:rPr>
          <w:color w:val="auto"/>
        </w:rPr>
      </w:pPr>
      <w:r>
        <w:rPr>
          <w:rFonts w:hint="eastAsia"/>
          <w:color w:val="auto"/>
        </w:rPr>
        <w:t>第</w:t>
      </w:r>
      <w:r>
        <w:rPr>
          <w:rFonts w:hint="eastAsia"/>
          <w:color w:val="auto"/>
          <w:lang w:val="en-US" w:eastAsia="zh-CN"/>
        </w:rPr>
        <w:t>6</w:t>
      </w:r>
      <w:r>
        <w:rPr>
          <w:rFonts w:hint="eastAsia"/>
          <w:color w:val="auto"/>
        </w:rPr>
        <w:t>1条 多点地区布局</w:t>
      </w:r>
    </w:p>
    <w:p>
      <w:pPr>
        <w:spacing w:line="560" w:lineRule="exact"/>
        <w:ind w:firstLine="600"/>
        <w:rPr>
          <w:rFonts w:hint="eastAsia"/>
          <w:color w:val="auto"/>
        </w:rPr>
      </w:pPr>
      <w:r>
        <w:rPr>
          <w:rFonts w:hint="eastAsia"/>
          <w:b/>
          <w:bCs/>
          <w:color w:val="auto"/>
        </w:rPr>
        <w:t>满足多层次、多样化、城乡均等的公共服务需求。</w:t>
      </w:r>
      <w:r>
        <w:rPr>
          <w:rFonts w:hint="eastAsia"/>
          <w:color w:val="auto"/>
        </w:rPr>
        <w:t>多点地区包含顺义区、大兴区、昌平区、房山区。加强与中心城区养老服务联动，在满足本区养老服务需求的基础上，承接中心城区养老服务功能外溢，适当建设中小型养老机构，一般床位规模控制在100张至500张之间，补齐短板，充实养老服务体系，主要着力加强存量设施现状调控、基层公办养老机构功能完善和服务提升、养老照料中心和城乡社区养老服务驿站的规划建设，适时推广集中式居家养老服务社区模式，确保2035年规划目标任务完成。</w:t>
      </w:r>
    </w:p>
    <w:p>
      <w:pPr>
        <w:spacing w:beforeLines="50"/>
        <w:ind w:firstLine="0" w:firstLineChars="0"/>
        <w:jc w:val="center"/>
        <w:rPr>
          <w:b/>
          <w:bCs/>
          <w:color w:val="auto"/>
        </w:rPr>
      </w:pPr>
      <w:r>
        <w:rPr>
          <w:rFonts w:hint="eastAsia" w:ascii="黑体" w:hAnsi="黑体" w:eastAsia="黑体"/>
          <w:color w:val="auto"/>
        </w:rPr>
        <w:t>表</w:t>
      </w:r>
      <w:r>
        <w:rPr>
          <w:rFonts w:hint="eastAsia" w:ascii="黑体" w:hAnsi="黑体" w:eastAsia="黑体"/>
          <w:color w:val="auto"/>
          <w:lang w:val="en-US" w:eastAsia="zh-CN"/>
        </w:rPr>
        <w:t>5</w:t>
      </w:r>
      <w:r>
        <w:rPr>
          <w:rFonts w:hint="eastAsia" w:ascii="黑体" w:hAnsi="黑体" w:eastAsia="黑体"/>
          <w:color w:val="auto"/>
        </w:rPr>
        <w:t xml:space="preserve"> 多点地区养老服务设施空间布局引导表</w:t>
      </w:r>
    </w:p>
    <w:tbl>
      <w:tblPr>
        <w:tblStyle w:val="39"/>
        <w:tblW w:w="8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91"/>
        <w:gridCol w:w="1168"/>
        <w:gridCol w:w="1170"/>
        <w:gridCol w:w="4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3" w:hRule="atLeast"/>
          <w:jc w:val="center"/>
        </w:trPr>
        <w:tc>
          <w:tcPr>
            <w:tcW w:w="3429"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240" w:lineRule="auto"/>
              <w:ind w:firstLine="0" w:firstLineChars="0"/>
              <w:jc w:val="center"/>
              <w:rPr>
                <w:rFonts w:hint="eastAsia" w:ascii="黑体" w:hAnsi="黑体" w:eastAsia="黑体"/>
                <w:color w:val="auto"/>
                <w:sz w:val="22"/>
                <w:szCs w:val="22"/>
              </w:rPr>
            </w:pPr>
            <w:r>
              <w:rPr>
                <w:rFonts w:hint="eastAsia" w:ascii="黑体" w:hAnsi="黑体" w:eastAsia="黑体"/>
                <w:color w:val="auto"/>
                <w:sz w:val="22"/>
                <w:szCs w:val="22"/>
              </w:rPr>
              <w:t>养老服务设施规划指标</w:t>
            </w:r>
          </w:p>
        </w:tc>
        <w:tc>
          <w:tcPr>
            <w:tcW w:w="496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auto"/>
              <w:ind w:firstLine="0" w:firstLineChars="0"/>
              <w:jc w:val="center"/>
              <w:textAlignment w:val="center"/>
              <w:rPr>
                <w:rFonts w:ascii="黑体" w:hAnsi="黑体"/>
                <w:b/>
                <w:bCs/>
                <w:color w:val="auto"/>
                <w:sz w:val="21"/>
                <w:szCs w:val="21"/>
              </w:rPr>
            </w:pPr>
            <w:r>
              <w:rPr>
                <w:rFonts w:hint="eastAsia" w:ascii="黑体" w:hAnsi="黑体" w:eastAsia="黑体"/>
                <w:color w:val="auto"/>
                <w:sz w:val="22"/>
                <w:szCs w:val="22"/>
              </w:rPr>
              <w:t>养老服务发展引导策略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9" w:hRule="atLeast"/>
          <w:jc w:val="center"/>
        </w:trPr>
        <w:tc>
          <w:tcPr>
            <w:tcW w:w="1091" w:type="dxa"/>
            <w:tcBorders>
              <w:top w:val="single" w:color="auto" w:sz="4" w:space="0"/>
              <w:left w:val="single" w:color="000000" w:sz="4" w:space="0"/>
              <w:bottom w:val="single" w:color="000000" w:sz="4" w:space="0"/>
              <w:right w:val="single" w:color="000000" w:sz="4" w:space="0"/>
              <w:tl2br w:val="single" w:color="auto" w:sz="4" w:space="0"/>
            </w:tcBorders>
            <w:shd w:val="clear" w:color="auto" w:fill="FFFFFF"/>
            <w:tcMar>
              <w:top w:w="15" w:type="dxa"/>
              <w:left w:w="15" w:type="dxa"/>
              <w:right w:w="15" w:type="dxa"/>
            </w:tcMar>
            <w:vAlign w:val="center"/>
          </w:tcPr>
          <w:p>
            <w:pPr>
              <w:spacing w:line="200" w:lineRule="exact"/>
              <w:ind w:firstLine="0" w:firstLineChars="0"/>
              <w:jc w:val="center"/>
              <w:rPr>
                <w:rFonts w:ascii="黑体" w:hAnsi="黑体" w:eastAsia="黑体"/>
                <w:color w:val="auto"/>
                <w:sz w:val="22"/>
                <w:szCs w:val="22"/>
              </w:rPr>
            </w:pPr>
            <w:r>
              <w:rPr>
                <w:rFonts w:hint="eastAsia" w:ascii="黑体" w:hAnsi="黑体" w:eastAsia="黑体"/>
                <w:color w:val="auto"/>
                <w:sz w:val="22"/>
                <w:szCs w:val="22"/>
              </w:rPr>
              <w:t xml:space="preserve">     时间</w:t>
            </w:r>
          </w:p>
          <w:p>
            <w:pPr>
              <w:spacing w:line="200" w:lineRule="exact"/>
              <w:ind w:left="78" w:leftChars="26" w:firstLine="0" w:firstLineChars="0"/>
              <w:rPr>
                <w:rFonts w:ascii="黑体" w:hAnsi="黑体" w:eastAsia="黑体"/>
                <w:color w:val="auto"/>
                <w:sz w:val="22"/>
                <w:szCs w:val="22"/>
              </w:rPr>
            </w:pPr>
            <w:r>
              <w:rPr>
                <w:rFonts w:hint="eastAsia" w:ascii="黑体" w:hAnsi="黑体" w:eastAsia="黑体"/>
                <w:color w:val="auto"/>
                <w:sz w:val="22"/>
                <w:szCs w:val="22"/>
              </w:rPr>
              <w:t>名称</w:t>
            </w:r>
          </w:p>
        </w:tc>
        <w:tc>
          <w:tcPr>
            <w:tcW w:w="1168"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center"/>
              <w:rPr>
                <w:rFonts w:ascii="黑体" w:hAnsi="黑体" w:eastAsia="黑体"/>
                <w:color w:val="auto"/>
                <w:sz w:val="22"/>
                <w:szCs w:val="22"/>
              </w:rPr>
            </w:pPr>
            <w:r>
              <w:rPr>
                <w:rFonts w:hint="eastAsia" w:ascii="黑体" w:hAnsi="黑体" w:eastAsia="黑体"/>
                <w:color w:val="auto"/>
                <w:sz w:val="22"/>
                <w:szCs w:val="22"/>
              </w:rPr>
              <w:t>2025年</w:t>
            </w:r>
          </w:p>
        </w:tc>
        <w:tc>
          <w:tcPr>
            <w:tcW w:w="1170"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center"/>
              <w:rPr>
                <w:rFonts w:ascii="黑体" w:hAnsi="黑体" w:eastAsia="黑体"/>
                <w:color w:val="auto"/>
                <w:sz w:val="22"/>
                <w:szCs w:val="22"/>
              </w:rPr>
            </w:pPr>
            <w:r>
              <w:rPr>
                <w:rFonts w:hint="eastAsia" w:ascii="黑体" w:hAnsi="黑体" w:eastAsia="黑体"/>
                <w:color w:val="auto"/>
                <w:sz w:val="22"/>
                <w:szCs w:val="22"/>
              </w:rPr>
              <w:t>2035年</w:t>
            </w:r>
          </w:p>
        </w:tc>
        <w:tc>
          <w:tcPr>
            <w:tcW w:w="4969" w:type="dxa"/>
            <w:vMerge w:val="restar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ind w:firstLine="0" w:firstLineChars="0"/>
              <w:textAlignment w:val="center"/>
              <w:rPr>
                <w:rFonts w:ascii="仿宋_GB2312" w:hAnsi="黑体" w:eastAsia="仿宋_GB2312"/>
                <w:color w:val="auto"/>
                <w:sz w:val="21"/>
                <w:szCs w:val="21"/>
              </w:rPr>
            </w:pPr>
            <w:r>
              <w:rPr>
                <w:rFonts w:hint="eastAsia" w:ascii="仿宋_GB2312" w:hAnsi="黑体" w:eastAsia="仿宋_GB2312"/>
                <w:color w:val="auto"/>
                <w:sz w:val="21"/>
                <w:szCs w:val="21"/>
              </w:rPr>
              <w:t>满足多层次、多样化、城乡均等的公共服务需求。加强与中心城区的养老服务联动，在满足本区养老服务需求的基础上，承接中心城区养老服务功能外溢，建设中小型养老机构，一般床位规模控制在100张至500张以内，补齐短板，充实服务体系，着力加强存量设施现状调控、基层公办养老机构功能完善和服务提升、养老照料中心和城乡社区养老服务驿站的规划建设，适时推广集中式居家养老服务社区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4" w:hRule="atLeast"/>
          <w:jc w:val="center"/>
        </w:trPr>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仿宋_GB2312" w:hAnsi="黑体" w:eastAsia="仿宋_GB2312"/>
                <w:color w:val="auto"/>
                <w:sz w:val="21"/>
                <w:szCs w:val="21"/>
              </w:rPr>
            </w:pPr>
            <w:r>
              <w:rPr>
                <w:rFonts w:hint="eastAsia" w:ascii="仿宋_GB2312" w:hAnsi="黑体" w:eastAsia="仿宋_GB2312"/>
                <w:color w:val="auto"/>
                <w:sz w:val="21"/>
                <w:szCs w:val="21"/>
              </w:rPr>
              <w:t>养老千人床位数（床）</w:t>
            </w:r>
          </w:p>
        </w:tc>
        <w:tc>
          <w:tcPr>
            <w:tcW w:w="11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7.0</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9.5</w:t>
            </w:r>
          </w:p>
        </w:tc>
        <w:tc>
          <w:tcPr>
            <w:tcW w:w="49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left"/>
              <w:rPr>
                <w:rFonts w:ascii="宋体" w:hAnsi="宋体" w:eastAsia="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0" w:hRule="atLeast"/>
          <w:jc w:val="center"/>
        </w:trPr>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仿宋_GB2312" w:hAnsi="黑体" w:eastAsia="仿宋_GB2312"/>
                <w:color w:val="auto"/>
                <w:sz w:val="21"/>
                <w:szCs w:val="21"/>
              </w:rPr>
            </w:pPr>
            <w:r>
              <w:rPr>
                <w:rFonts w:hint="eastAsia" w:ascii="仿宋_GB2312" w:hAnsi="黑体" w:eastAsia="仿宋_GB2312"/>
                <w:color w:val="auto"/>
                <w:sz w:val="21"/>
                <w:szCs w:val="21"/>
              </w:rPr>
              <w:t>养老床位数（床）</w:t>
            </w:r>
          </w:p>
        </w:tc>
        <w:tc>
          <w:tcPr>
            <w:tcW w:w="11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48790-</w:t>
            </w:r>
          </w:p>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49140</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70015-</w:t>
            </w:r>
          </w:p>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70490</w:t>
            </w:r>
          </w:p>
        </w:tc>
        <w:tc>
          <w:tcPr>
            <w:tcW w:w="49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left"/>
              <w:rPr>
                <w:rFonts w:ascii="宋体" w:hAnsi="宋体" w:eastAsia="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5" w:hRule="atLeast"/>
          <w:jc w:val="center"/>
        </w:trPr>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仿宋_GB2312" w:hAnsi="黑体" w:eastAsia="仿宋_GB2312"/>
                <w:color w:val="auto"/>
                <w:sz w:val="21"/>
                <w:szCs w:val="21"/>
              </w:rPr>
            </w:pPr>
            <w:r>
              <w:rPr>
                <w:rFonts w:hint="eastAsia" w:ascii="仿宋_GB2312" w:hAnsi="黑体" w:eastAsia="仿宋_GB2312"/>
                <w:color w:val="auto"/>
                <w:sz w:val="21"/>
                <w:szCs w:val="21"/>
              </w:rPr>
              <w:t>养老设施千人建筑面积（平方米）</w:t>
            </w:r>
          </w:p>
        </w:tc>
        <w:tc>
          <w:tcPr>
            <w:tcW w:w="11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385</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490</w:t>
            </w:r>
          </w:p>
        </w:tc>
        <w:tc>
          <w:tcPr>
            <w:tcW w:w="49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left"/>
              <w:rPr>
                <w:rFonts w:ascii="宋体" w:hAnsi="宋体" w:eastAsia="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jc w:val="center"/>
        </w:trPr>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仿宋_GB2312" w:hAnsi="黑体" w:eastAsia="仿宋_GB2312"/>
                <w:color w:val="auto"/>
                <w:sz w:val="21"/>
                <w:szCs w:val="21"/>
              </w:rPr>
            </w:pPr>
            <w:r>
              <w:rPr>
                <w:rFonts w:hint="eastAsia" w:ascii="仿宋_GB2312" w:hAnsi="黑体" w:eastAsia="仿宋_GB2312"/>
                <w:color w:val="auto"/>
                <w:sz w:val="21"/>
                <w:szCs w:val="21"/>
              </w:rPr>
              <w:t>养老照料中心（个）</w:t>
            </w:r>
          </w:p>
        </w:tc>
        <w:tc>
          <w:tcPr>
            <w:tcW w:w="11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98</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98</w:t>
            </w:r>
          </w:p>
        </w:tc>
        <w:tc>
          <w:tcPr>
            <w:tcW w:w="49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left"/>
              <w:rPr>
                <w:rFonts w:ascii="宋体" w:hAnsi="宋体" w:eastAsia="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9" w:hRule="atLeast"/>
          <w:jc w:val="center"/>
        </w:trPr>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仿宋_GB2312" w:hAnsi="黑体" w:eastAsia="仿宋_GB2312"/>
                <w:color w:val="auto"/>
                <w:sz w:val="21"/>
                <w:szCs w:val="21"/>
              </w:rPr>
            </w:pPr>
            <w:r>
              <w:rPr>
                <w:rFonts w:hint="eastAsia" w:ascii="仿宋_GB2312" w:hAnsi="黑体" w:eastAsia="仿宋_GB2312"/>
                <w:color w:val="auto"/>
                <w:sz w:val="21"/>
                <w:szCs w:val="21"/>
              </w:rPr>
              <w:t>社区养老服务驿站（个）</w:t>
            </w:r>
          </w:p>
        </w:tc>
        <w:tc>
          <w:tcPr>
            <w:tcW w:w="11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ascii="黑体" w:hAnsi="黑体"/>
                <w:color w:val="auto"/>
                <w:sz w:val="21"/>
                <w:szCs w:val="21"/>
              </w:rPr>
              <w:t>352</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ascii="黑体" w:hAnsi="黑体"/>
                <w:color w:val="auto"/>
                <w:sz w:val="21"/>
                <w:szCs w:val="21"/>
              </w:rPr>
              <w:t>574</w:t>
            </w:r>
          </w:p>
        </w:tc>
        <w:tc>
          <w:tcPr>
            <w:tcW w:w="49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ind w:firstLine="0" w:firstLineChars="0"/>
              <w:jc w:val="left"/>
              <w:rPr>
                <w:rFonts w:ascii="宋体" w:hAnsi="宋体" w:eastAsia="宋体" w:cs="宋体"/>
                <w:color w:val="auto"/>
                <w:sz w:val="22"/>
                <w:szCs w:val="22"/>
              </w:rPr>
            </w:pPr>
          </w:p>
        </w:tc>
      </w:tr>
    </w:tbl>
    <w:p>
      <w:pPr>
        <w:pStyle w:val="4"/>
        <w:spacing w:before="205" w:afterLines="0" w:line="240" w:lineRule="auto"/>
        <w:rPr>
          <w:strike/>
          <w:color w:val="auto"/>
        </w:rPr>
      </w:pPr>
      <w:r>
        <w:rPr>
          <w:rFonts w:hint="eastAsia"/>
          <w:color w:val="auto"/>
        </w:rPr>
        <w:t>第</w:t>
      </w:r>
      <w:r>
        <w:rPr>
          <w:rFonts w:hint="eastAsia"/>
          <w:color w:val="auto"/>
          <w:lang w:val="en-US" w:eastAsia="zh-CN"/>
        </w:rPr>
        <w:t>6</w:t>
      </w:r>
      <w:r>
        <w:rPr>
          <w:rFonts w:hint="eastAsia"/>
          <w:color w:val="auto"/>
        </w:rPr>
        <w:t>2条 生态涵养区布局</w:t>
      </w:r>
    </w:p>
    <w:p>
      <w:pPr>
        <w:widowControl w:val="0"/>
        <w:wordWrap/>
        <w:adjustRightInd/>
        <w:snapToGrid/>
        <w:spacing w:line="560" w:lineRule="exact"/>
        <w:ind w:left="0" w:leftChars="0" w:right="0" w:firstLine="602" w:firstLineChars="200"/>
        <w:jc w:val="both"/>
        <w:textAlignment w:val="auto"/>
        <w:outlineLvl w:val="9"/>
        <w:rPr>
          <w:rFonts w:hint="eastAsia"/>
          <w:color w:val="auto"/>
          <w:lang w:eastAsia="zh-CN"/>
        </w:rPr>
      </w:pPr>
      <w:r>
        <w:rPr>
          <w:b/>
          <w:bCs/>
          <w:color w:val="auto"/>
        </w:rPr>
        <w:t>适度发展康养小镇、养生基地等新型养老服务。</w:t>
      </w:r>
      <w:r>
        <w:rPr>
          <w:rFonts w:hint="eastAsia"/>
          <w:color w:val="auto"/>
          <w:sz w:val="28"/>
          <w:szCs w:val="22"/>
        </w:rPr>
        <w:t>生态涵养区包含门头沟区、平谷区、怀柔区、密云区和延庆区。</w:t>
      </w:r>
      <w:r>
        <w:rPr>
          <w:color w:val="auto"/>
        </w:rPr>
        <w:t>突出自然山水优势和旅游休闲特色，按照生态保护与绿色发展理念，重点承接健康养护、森林康养等养老服务功能，在做好辖区养老保障工作的基础上，鼓励社会力量兴办养老服务设施，推动做好基层公办养老机构</w:t>
      </w:r>
      <w:r>
        <w:rPr>
          <w:rFonts w:hint="eastAsia"/>
          <w:color w:val="auto"/>
        </w:rPr>
        <w:t>的</w:t>
      </w:r>
      <w:r>
        <w:rPr>
          <w:color w:val="auto"/>
        </w:rPr>
        <w:t>服务质量提升、农村幸福晚年驿站的规划建设工作</w:t>
      </w:r>
      <w:r>
        <w:rPr>
          <w:rFonts w:hint="eastAsia"/>
          <w:color w:val="auto"/>
        </w:rPr>
        <w:t>。在城区推进建设集中式居家养老服务社区与新型医养康养相结合，与居家社区机构相</w:t>
      </w:r>
      <w:r>
        <w:rPr>
          <w:rFonts w:hint="eastAsia" w:eastAsia="仿宋"/>
          <w:color w:val="auto"/>
          <w:lang w:eastAsia="zh-CN"/>
        </w:rPr>
        <w:t>协调</w:t>
      </w:r>
      <w:r>
        <w:rPr>
          <w:rFonts w:hint="eastAsia"/>
          <w:color w:val="auto"/>
        </w:rPr>
        <w:t>的养老服务模式。</w:t>
      </w:r>
      <w:r>
        <w:rPr>
          <w:color w:val="auto"/>
        </w:rPr>
        <w:t>加强乡村地区</w:t>
      </w:r>
      <w:r>
        <w:rPr>
          <w:rFonts w:hint="eastAsia" w:eastAsia="仿宋"/>
          <w:color w:val="auto"/>
          <w:lang w:eastAsia="zh-CN"/>
        </w:rPr>
        <w:t>，</w:t>
      </w:r>
      <w:r>
        <w:rPr>
          <w:color w:val="auto"/>
        </w:rPr>
        <w:t>特别是山区村庄的基层养老服务设施建设，保障农村居家老年人的基本养老服务需求，</w:t>
      </w:r>
      <w:r>
        <w:rPr>
          <w:rFonts w:hint="eastAsia"/>
          <w:color w:val="auto"/>
        </w:rPr>
        <w:t>确保</w:t>
      </w:r>
      <w:r>
        <w:rPr>
          <w:color w:val="auto"/>
        </w:rPr>
        <w:t>202</w:t>
      </w:r>
      <w:r>
        <w:rPr>
          <w:rFonts w:hint="eastAsia"/>
          <w:color w:val="auto"/>
        </w:rPr>
        <w:t>5</w:t>
      </w:r>
      <w:r>
        <w:rPr>
          <w:color w:val="auto"/>
        </w:rPr>
        <w:t>年、2035年规划目标任务完成</w:t>
      </w:r>
      <w:r>
        <w:rPr>
          <w:rFonts w:hint="eastAsia"/>
          <w:color w:val="auto"/>
          <w:lang w:eastAsia="zh-CN"/>
        </w:rPr>
        <w:t>。</w:t>
      </w:r>
    </w:p>
    <w:p>
      <w:pPr>
        <w:widowControl w:val="0"/>
        <w:wordWrap/>
        <w:adjustRightInd/>
        <w:snapToGrid/>
        <w:spacing w:line="560" w:lineRule="exact"/>
        <w:ind w:left="0" w:leftChars="0" w:right="0" w:firstLine="600" w:firstLineChars="200"/>
        <w:jc w:val="both"/>
        <w:textAlignment w:val="auto"/>
        <w:outlineLvl w:val="9"/>
        <w:rPr>
          <w:rFonts w:hint="eastAsia"/>
          <w:color w:val="auto"/>
          <w:lang w:eastAsia="zh-CN"/>
        </w:rPr>
      </w:pPr>
    </w:p>
    <w:p>
      <w:pPr>
        <w:widowControl w:val="0"/>
        <w:wordWrap/>
        <w:adjustRightInd/>
        <w:snapToGrid/>
        <w:spacing w:line="560" w:lineRule="exact"/>
        <w:ind w:left="0" w:leftChars="0" w:right="0" w:firstLine="600" w:firstLineChars="200"/>
        <w:jc w:val="both"/>
        <w:textAlignment w:val="auto"/>
        <w:outlineLvl w:val="9"/>
        <w:rPr>
          <w:rFonts w:hint="eastAsia"/>
          <w:color w:val="auto"/>
          <w:lang w:eastAsia="zh-CN"/>
        </w:rPr>
      </w:pPr>
    </w:p>
    <w:p>
      <w:pPr>
        <w:widowControl w:val="0"/>
        <w:wordWrap/>
        <w:adjustRightInd/>
        <w:snapToGrid/>
        <w:spacing w:line="560" w:lineRule="exact"/>
        <w:ind w:left="0" w:leftChars="0" w:right="0" w:firstLine="600" w:firstLineChars="200"/>
        <w:jc w:val="both"/>
        <w:textAlignment w:val="auto"/>
        <w:outlineLvl w:val="9"/>
        <w:rPr>
          <w:rFonts w:hint="eastAsia"/>
          <w:color w:val="auto"/>
          <w:lang w:eastAsia="zh-CN"/>
        </w:rPr>
      </w:pPr>
    </w:p>
    <w:p>
      <w:pPr>
        <w:widowControl w:val="0"/>
        <w:wordWrap/>
        <w:adjustRightInd/>
        <w:snapToGrid/>
        <w:spacing w:line="560" w:lineRule="exact"/>
        <w:ind w:left="0" w:leftChars="0" w:right="0" w:firstLine="600" w:firstLineChars="200"/>
        <w:jc w:val="both"/>
        <w:textAlignment w:val="auto"/>
        <w:outlineLvl w:val="9"/>
        <w:rPr>
          <w:rFonts w:hint="eastAsia"/>
          <w:color w:val="auto"/>
          <w:lang w:eastAsia="zh-CN"/>
        </w:rPr>
      </w:pPr>
    </w:p>
    <w:p>
      <w:pPr>
        <w:widowControl w:val="0"/>
        <w:wordWrap/>
        <w:adjustRightInd/>
        <w:snapToGrid/>
        <w:spacing w:line="560" w:lineRule="exact"/>
        <w:ind w:left="0" w:leftChars="0" w:right="0" w:firstLine="600" w:firstLineChars="200"/>
        <w:jc w:val="both"/>
        <w:textAlignment w:val="auto"/>
        <w:outlineLvl w:val="9"/>
        <w:rPr>
          <w:rFonts w:hint="eastAsia"/>
          <w:color w:val="auto"/>
          <w:lang w:eastAsia="zh-CN"/>
        </w:rPr>
      </w:pPr>
    </w:p>
    <w:p>
      <w:pPr>
        <w:widowControl w:val="0"/>
        <w:wordWrap/>
        <w:adjustRightInd/>
        <w:snapToGrid/>
        <w:spacing w:line="560" w:lineRule="exact"/>
        <w:ind w:left="0" w:leftChars="0" w:right="0" w:firstLine="600" w:firstLineChars="200"/>
        <w:jc w:val="both"/>
        <w:textAlignment w:val="auto"/>
        <w:outlineLvl w:val="9"/>
        <w:rPr>
          <w:rFonts w:hint="eastAsia"/>
          <w:color w:val="auto"/>
          <w:lang w:eastAsia="zh-CN"/>
        </w:rPr>
      </w:pPr>
    </w:p>
    <w:p>
      <w:pPr>
        <w:widowControl w:val="0"/>
        <w:wordWrap/>
        <w:adjustRightInd/>
        <w:snapToGrid/>
        <w:spacing w:line="560" w:lineRule="exact"/>
        <w:ind w:left="0" w:leftChars="0" w:right="0" w:firstLine="600" w:firstLineChars="200"/>
        <w:jc w:val="both"/>
        <w:textAlignment w:val="auto"/>
        <w:outlineLvl w:val="9"/>
        <w:rPr>
          <w:rFonts w:hint="eastAsia"/>
          <w:color w:val="auto"/>
          <w:lang w:eastAsia="zh-CN"/>
        </w:rPr>
      </w:pPr>
    </w:p>
    <w:p>
      <w:pPr>
        <w:widowControl w:val="0"/>
        <w:wordWrap/>
        <w:adjustRightInd/>
        <w:snapToGrid/>
        <w:spacing w:line="560" w:lineRule="exact"/>
        <w:ind w:left="0" w:leftChars="0" w:right="0" w:firstLine="600" w:firstLineChars="200"/>
        <w:jc w:val="both"/>
        <w:textAlignment w:val="auto"/>
        <w:outlineLvl w:val="9"/>
        <w:rPr>
          <w:rFonts w:hint="eastAsia"/>
          <w:color w:val="auto"/>
          <w:lang w:eastAsia="zh-CN"/>
        </w:rPr>
      </w:pPr>
    </w:p>
    <w:p>
      <w:pPr>
        <w:widowControl w:val="0"/>
        <w:wordWrap/>
        <w:adjustRightInd/>
        <w:snapToGrid/>
        <w:spacing w:line="560" w:lineRule="exact"/>
        <w:ind w:left="0" w:leftChars="0" w:right="0" w:firstLine="600" w:firstLineChars="200"/>
        <w:jc w:val="both"/>
        <w:textAlignment w:val="auto"/>
        <w:outlineLvl w:val="9"/>
        <w:rPr>
          <w:rFonts w:hint="eastAsia"/>
          <w:color w:val="auto"/>
          <w:lang w:eastAsia="zh-CN"/>
        </w:rPr>
      </w:pPr>
    </w:p>
    <w:p>
      <w:pPr>
        <w:widowControl w:val="0"/>
        <w:wordWrap/>
        <w:adjustRightInd/>
        <w:snapToGrid/>
        <w:spacing w:line="560" w:lineRule="exact"/>
        <w:ind w:left="0" w:leftChars="0" w:right="0" w:firstLine="600" w:firstLineChars="200"/>
        <w:jc w:val="both"/>
        <w:textAlignment w:val="auto"/>
        <w:outlineLvl w:val="9"/>
        <w:rPr>
          <w:rFonts w:hint="eastAsia"/>
          <w:color w:val="auto"/>
          <w:lang w:eastAsia="zh-CN"/>
        </w:rPr>
      </w:pPr>
    </w:p>
    <w:p>
      <w:pPr>
        <w:widowControl w:val="0"/>
        <w:wordWrap/>
        <w:adjustRightInd/>
        <w:snapToGrid/>
        <w:spacing w:before="205" w:beforeLines="50" w:line="240" w:lineRule="auto"/>
        <w:ind w:left="0" w:leftChars="0" w:right="0" w:firstLine="0" w:firstLineChars="0"/>
        <w:jc w:val="center"/>
        <w:textAlignment w:val="auto"/>
        <w:outlineLvl w:val="9"/>
        <w:rPr>
          <w:color w:val="auto"/>
        </w:rPr>
      </w:pPr>
      <w:r>
        <w:rPr>
          <w:rFonts w:hint="eastAsia" w:ascii="黑体" w:hAnsi="黑体" w:eastAsia="黑体"/>
          <w:color w:val="auto"/>
        </w:rPr>
        <w:t>表</w:t>
      </w:r>
      <w:r>
        <w:rPr>
          <w:rFonts w:hint="eastAsia" w:ascii="黑体" w:hAnsi="黑体" w:eastAsia="黑体"/>
          <w:color w:val="auto"/>
          <w:lang w:val="en-US" w:eastAsia="zh-CN"/>
        </w:rPr>
        <w:t>6</w:t>
      </w:r>
      <w:r>
        <w:rPr>
          <w:rFonts w:hint="eastAsia" w:ascii="黑体" w:hAnsi="黑体" w:eastAsia="黑体"/>
          <w:color w:val="auto"/>
        </w:rPr>
        <w:t xml:space="preserve"> 生态涵养区养老服务设施空间布局引导表</w:t>
      </w:r>
    </w:p>
    <w:tbl>
      <w:tblPr>
        <w:tblStyle w:val="39"/>
        <w:tblW w:w="90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5"/>
        <w:gridCol w:w="990"/>
        <w:gridCol w:w="990"/>
        <w:gridCol w:w="59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1" w:hRule="atLeast"/>
        </w:trPr>
        <w:tc>
          <w:tcPr>
            <w:tcW w:w="3095" w:type="dxa"/>
            <w:gridSpan w:val="3"/>
            <w:shd w:val="clear" w:color="auto" w:fill="FFFFFF"/>
            <w:tcMar>
              <w:top w:w="15" w:type="dxa"/>
              <w:left w:w="15" w:type="dxa"/>
              <w:right w:w="15" w:type="dxa"/>
            </w:tcMar>
            <w:vAlign w:val="center"/>
          </w:tcPr>
          <w:p>
            <w:pPr>
              <w:spacing w:line="240" w:lineRule="auto"/>
              <w:ind w:firstLine="0" w:firstLineChars="0"/>
              <w:jc w:val="center"/>
              <w:rPr>
                <w:rFonts w:hint="eastAsia" w:ascii="黑体" w:hAnsi="黑体" w:eastAsia="黑体"/>
                <w:color w:val="auto"/>
                <w:sz w:val="22"/>
                <w:szCs w:val="22"/>
              </w:rPr>
            </w:pPr>
            <w:r>
              <w:rPr>
                <w:rFonts w:hint="eastAsia" w:ascii="黑体" w:hAnsi="黑体" w:eastAsia="黑体"/>
                <w:color w:val="auto"/>
                <w:sz w:val="22"/>
                <w:szCs w:val="22"/>
              </w:rPr>
              <w:t>养老服务设施规划指标</w:t>
            </w:r>
          </w:p>
        </w:tc>
        <w:tc>
          <w:tcPr>
            <w:tcW w:w="5934" w:type="dxa"/>
            <w:shd w:val="clear" w:color="auto" w:fill="FFFFFF"/>
            <w:tcMar>
              <w:top w:w="15" w:type="dxa"/>
              <w:left w:w="15" w:type="dxa"/>
              <w:right w:w="15" w:type="dxa"/>
            </w:tcMar>
            <w:vAlign w:val="center"/>
          </w:tcPr>
          <w:p>
            <w:pPr>
              <w:spacing w:line="240" w:lineRule="auto"/>
              <w:ind w:firstLine="0" w:firstLineChars="0"/>
              <w:jc w:val="center"/>
              <w:rPr>
                <w:rFonts w:ascii="黑体" w:hAnsi="黑体" w:eastAsia="黑体"/>
                <w:color w:val="auto"/>
                <w:sz w:val="22"/>
                <w:szCs w:val="22"/>
              </w:rPr>
            </w:pPr>
            <w:r>
              <w:rPr>
                <w:rFonts w:hint="eastAsia" w:ascii="黑体" w:hAnsi="黑体" w:eastAsia="黑体"/>
                <w:color w:val="auto"/>
                <w:sz w:val="22"/>
                <w:szCs w:val="22"/>
              </w:rPr>
              <w:t>养老服务发展引导策略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6" w:hRule="atLeast"/>
        </w:trPr>
        <w:tc>
          <w:tcPr>
            <w:tcW w:w="1115" w:type="dxa"/>
            <w:tcBorders>
              <w:tl2br w:val="single" w:color="000000" w:sz="4" w:space="0"/>
            </w:tcBorders>
            <w:shd w:val="clear" w:color="auto" w:fill="FFFFFF"/>
            <w:tcMar>
              <w:top w:w="15" w:type="dxa"/>
              <w:left w:w="15" w:type="dxa"/>
              <w:right w:w="15" w:type="dxa"/>
            </w:tcMar>
            <w:vAlign w:val="center"/>
          </w:tcPr>
          <w:p>
            <w:pPr>
              <w:spacing w:line="200" w:lineRule="exact"/>
              <w:ind w:firstLine="0" w:firstLineChars="0"/>
              <w:jc w:val="center"/>
              <w:rPr>
                <w:rFonts w:ascii="黑体" w:hAnsi="黑体" w:eastAsia="黑体"/>
                <w:color w:val="auto"/>
                <w:sz w:val="22"/>
                <w:szCs w:val="22"/>
              </w:rPr>
            </w:pPr>
            <w:r>
              <w:rPr>
                <w:rFonts w:hint="eastAsia" w:ascii="黑体" w:hAnsi="黑体" w:eastAsia="黑体"/>
                <w:color w:val="auto"/>
                <w:sz w:val="22"/>
                <w:szCs w:val="22"/>
              </w:rPr>
              <w:t xml:space="preserve">     时间</w:t>
            </w:r>
          </w:p>
          <w:p>
            <w:pPr>
              <w:spacing w:line="200" w:lineRule="exact"/>
              <w:ind w:left="138" w:leftChars="46" w:firstLine="0" w:firstLineChars="0"/>
              <w:rPr>
                <w:rFonts w:ascii="黑体" w:hAnsi="黑体" w:eastAsia="黑体"/>
                <w:color w:val="auto"/>
                <w:sz w:val="22"/>
                <w:szCs w:val="22"/>
              </w:rPr>
            </w:pPr>
            <w:r>
              <w:rPr>
                <w:rFonts w:hint="eastAsia" w:ascii="黑体" w:hAnsi="黑体" w:eastAsia="黑体"/>
                <w:color w:val="auto"/>
                <w:sz w:val="22"/>
                <w:szCs w:val="22"/>
              </w:rPr>
              <w:t>名称</w:t>
            </w:r>
          </w:p>
        </w:tc>
        <w:tc>
          <w:tcPr>
            <w:tcW w:w="990" w:type="dxa"/>
            <w:shd w:val="clear" w:color="auto" w:fill="FFFFFF"/>
            <w:tcMar>
              <w:top w:w="15" w:type="dxa"/>
              <w:left w:w="15" w:type="dxa"/>
              <w:right w:w="15" w:type="dxa"/>
            </w:tcMar>
            <w:vAlign w:val="center"/>
          </w:tcPr>
          <w:p>
            <w:pPr>
              <w:spacing w:line="240" w:lineRule="auto"/>
              <w:ind w:firstLine="0" w:firstLineChars="0"/>
              <w:jc w:val="center"/>
              <w:rPr>
                <w:rFonts w:ascii="黑体" w:hAnsi="黑体" w:eastAsia="黑体"/>
                <w:color w:val="auto"/>
                <w:sz w:val="22"/>
                <w:szCs w:val="22"/>
              </w:rPr>
            </w:pPr>
            <w:r>
              <w:rPr>
                <w:rFonts w:hint="eastAsia" w:ascii="黑体" w:hAnsi="黑体" w:eastAsia="黑体"/>
                <w:color w:val="auto"/>
                <w:sz w:val="22"/>
                <w:szCs w:val="22"/>
              </w:rPr>
              <w:t>2025年</w:t>
            </w:r>
          </w:p>
        </w:tc>
        <w:tc>
          <w:tcPr>
            <w:tcW w:w="990" w:type="dxa"/>
            <w:shd w:val="clear" w:color="auto" w:fill="FFFFFF"/>
            <w:tcMar>
              <w:top w:w="15" w:type="dxa"/>
              <w:left w:w="15" w:type="dxa"/>
              <w:right w:w="15" w:type="dxa"/>
            </w:tcMar>
            <w:vAlign w:val="center"/>
          </w:tcPr>
          <w:p>
            <w:pPr>
              <w:spacing w:line="240" w:lineRule="auto"/>
              <w:ind w:firstLine="0" w:firstLineChars="0"/>
              <w:jc w:val="center"/>
              <w:rPr>
                <w:rFonts w:ascii="黑体" w:hAnsi="黑体" w:eastAsia="黑体"/>
                <w:color w:val="auto"/>
                <w:sz w:val="22"/>
                <w:szCs w:val="22"/>
              </w:rPr>
            </w:pPr>
            <w:r>
              <w:rPr>
                <w:rFonts w:hint="eastAsia" w:ascii="黑体" w:hAnsi="黑体" w:eastAsia="黑体"/>
                <w:color w:val="auto"/>
                <w:sz w:val="22"/>
                <w:szCs w:val="22"/>
              </w:rPr>
              <w:t>2035年</w:t>
            </w:r>
          </w:p>
        </w:tc>
        <w:tc>
          <w:tcPr>
            <w:tcW w:w="5934" w:type="dxa"/>
            <w:vMerge w:val="restart"/>
            <w:shd w:val="clear" w:color="auto" w:fill="FFFFFF"/>
            <w:tcMar>
              <w:top w:w="15" w:type="dxa"/>
              <w:left w:w="15" w:type="dxa"/>
              <w:right w:w="15" w:type="dxa"/>
            </w:tcMar>
            <w:vAlign w:val="center"/>
          </w:tcPr>
          <w:p>
            <w:pPr>
              <w:widowControl/>
              <w:spacing w:line="240" w:lineRule="auto"/>
              <w:ind w:firstLine="0" w:firstLineChars="0"/>
              <w:textAlignment w:val="center"/>
              <w:rPr>
                <w:rFonts w:ascii="黑体" w:hAnsi="黑体"/>
                <w:color w:val="auto"/>
                <w:sz w:val="21"/>
                <w:szCs w:val="21"/>
              </w:rPr>
            </w:pPr>
            <w:r>
              <w:rPr>
                <w:rFonts w:hint="eastAsia" w:ascii="黑体" w:hAnsi="黑体"/>
                <w:color w:val="auto"/>
                <w:sz w:val="21"/>
                <w:szCs w:val="21"/>
              </w:rPr>
              <w:t>适度发展康养小镇、养生基地等新型养老服务。突出自然山水优势和旅游休闲特色，按照生态保护与绿色发展理念，重点承接健康养护、森林康养等养老服务功能，在做好辖区养老保障工作的基础上，鼓励社会力量兴办养老服务设施，推动做好基层公办养老机构的服务质量提升、农村幸福晚年驿站的规划建设工作。在城区推进建设集中式居家养老服务社区与新型医养康养相结合，与居家社区机构相</w:t>
            </w:r>
            <w:r>
              <w:rPr>
                <w:rFonts w:hint="eastAsia" w:ascii="黑体" w:hAnsi="黑体"/>
                <w:color w:val="auto"/>
                <w:sz w:val="21"/>
                <w:szCs w:val="21"/>
                <w:lang w:eastAsia="zh-CN"/>
              </w:rPr>
              <w:t>协调</w:t>
            </w:r>
            <w:r>
              <w:rPr>
                <w:rFonts w:hint="eastAsia" w:ascii="黑体" w:hAnsi="黑体"/>
                <w:color w:val="auto"/>
                <w:sz w:val="21"/>
                <w:szCs w:val="21"/>
              </w:rPr>
              <w:t>的养老服务模式。加强乡村地区，特别是山区村庄的基层养老服务设施建设，保障农村居家老年人的基本养老服务需求。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4" w:hRule="atLeast"/>
        </w:trPr>
        <w:tc>
          <w:tcPr>
            <w:tcW w:w="1115" w:type="dxa"/>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养老千人床位数（床）</w:t>
            </w:r>
          </w:p>
        </w:tc>
        <w:tc>
          <w:tcPr>
            <w:tcW w:w="990" w:type="dxa"/>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7.0</w:t>
            </w:r>
          </w:p>
        </w:tc>
        <w:tc>
          <w:tcPr>
            <w:tcW w:w="990" w:type="dxa"/>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9.5</w:t>
            </w:r>
          </w:p>
        </w:tc>
        <w:tc>
          <w:tcPr>
            <w:tcW w:w="5934" w:type="dxa"/>
            <w:vMerge w:val="continue"/>
            <w:shd w:val="clear" w:color="auto" w:fill="FFFFFF"/>
            <w:tcMar>
              <w:top w:w="15" w:type="dxa"/>
              <w:left w:w="15" w:type="dxa"/>
              <w:right w:w="15" w:type="dxa"/>
            </w:tcMar>
            <w:vAlign w:val="center"/>
          </w:tcPr>
          <w:p>
            <w:pPr>
              <w:spacing w:line="240" w:lineRule="auto"/>
              <w:ind w:firstLine="0" w:firstLineChars="0"/>
              <w:jc w:val="left"/>
              <w:rPr>
                <w:rFonts w:ascii="宋体" w:hAnsi="宋体" w:eastAsia="宋体" w:cs="宋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7" w:hRule="atLeast"/>
        </w:trPr>
        <w:tc>
          <w:tcPr>
            <w:tcW w:w="1115" w:type="dxa"/>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养老床位数（床）</w:t>
            </w:r>
          </w:p>
        </w:tc>
        <w:tc>
          <w:tcPr>
            <w:tcW w:w="990" w:type="dxa"/>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16030</w:t>
            </w:r>
            <w:r>
              <w:rPr>
                <w:rFonts w:hint="eastAsia" w:ascii="黑体" w:hAnsi="黑体"/>
                <w:color w:val="auto"/>
                <w:sz w:val="21"/>
                <w:szCs w:val="21"/>
                <w:lang w:val="en-US" w:eastAsia="zh-CN"/>
              </w:rPr>
              <w:t xml:space="preserve">                                                                                                                                                                                                                                                                                                                                                                                                                                                                                                                                                                                                                                                                                                                                                                                                                                                                                                                                                                                              </w:t>
            </w:r>
          </w:p>
        </w:tc>
        <w:tc>
          <w:tcPr>
            <w:tcW w:w="990" w:type="dxa"/>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22325</w:t>
            </w:r>
            <w:r>
              <w:rPr>
                <w:rStyle w:val="38"/>
                <w:rFonts w:hint="eastAsia" w:ascii="黑体" w:hAnsi="黑体" w:eastAsia="宋体" w:cs="Times New Roman"/>
                <w:color w:val="auto"/>
                <w:sz w:val="21"/>
                <w:szCs w:val="21"/>
              </w:rPr>
              <w:footnoteReference w:id="1"/>
            </w:r>
          </w:p>
        </w:tc>
        <w:tc>
          <w:tcPr>
            <w:tcW w:w="5934" w:type="dxa"/>
            <w:vMerge w:val="continue"/>
            <w:shd w:val="clear" w:color="auto" w:fill="FFFFFF"/>
            <w:tcMar>
              <w:top w:w="15" w:type="dxa"/>
              <w:left w:w="15" w:type="dxa"/>
              <w:right w:w="15" w:type="dxa"/>
            </w:tcMar>
            <w:vAlign w:val="center"/>
          </w:tcPr>
          <w:p>
            <w:pPr>
              <w:spacing w:line="240" w:lineRule="auto"/>
              <w:ind w:firstLine="0" w:firstLineChars="0"/>
              <w:jc w:val="left"/>
              <w:rPr>
                <w:rFonts w:ascii="宋体" w:hAnsi="宋体" w:eastAsia="宋体" w:cs="宋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4" w:hRule="atLeast"/>
        </w:trPr>
        <w:tc>
          <w:tcPr>
            <w:tcW w:w="1115" w:type="dxa"/>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养老设施千人建筑面积（平方米）</w:t>
            </w:r>
          </w:p>
        </w:tc>
        <w:tc>
          <w:tcPr>
            <w:tcW w:w="990" w:type="dxa"/>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385</w:t>
            </w:r>
          </w:p>
        </w:tc>
        <w:tc>
          <w:tcPr>
            <w:tcW w:w="990" w:type="dxa"/>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490</w:t>
            </w:r>
          </w:p>
        </w:tc>
        <w:tc>
          <w:tcPr>
            <w:tcW w:w="5934" w:type="dxa"/>
            <w:vMerge w:val="continue"/>
            <w:shd w:val="clear" w:color="auto" w:fill="FFFFFF"/>
            <w:tcMar>
              <w:top w:w="15" w:type="dxa"/>
              <w:left w:w="15" w:type="dxa"/>
              <w:right w:w="15" w:type="dxa"/>
            </w:tcMar>
            <w:vAlign w:val="center"/>
          </w:tcPr>
          <w:p>
            <w:pPr>
              <w:spacing w:line="240" w:lineRule="auto"/>
              <w:ind w:firstLine="0" w:firstLineChars="0"/>
              <w:jc w:val="left"/>
              <w:rPr>
                <w:rFonts w:ascii="宋体" w:hAnsi="宋体" w:eastAsia="宋体" w:cs="宋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2" w:hRule="atLeast"/>
        </w:trPr>
        <w:tc>
          <w:tcPr>
            <w:tcW w:w="1115" w:type="dxa"/>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养老照料中心（个）</w:t>
            </w:r>
          </w:p>
        </w:tc>
        <w:tc>
          <w:tcPr>
            <w:tcW w:w="990" w:type="dxa"/>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69</w:t>
            </w:r>
          </w:p>
        </w:tc>
        <w:tc>
          <w:tcPr>
            <w:tcW w:w="990" w:type="dxa"/>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85</w:t>
            </w:r>
          </w:p>
        </w:tc>
        <w:tc>
          <w:tcPr>
            <w:tcW w:w="5934" w:type="dxa"/>
            <w:vMerge w:val="continue"/>
            <w:shd w:val="clear" w:color="auto" w:fill="FFFFFF"/>
            <w:tcMar>
              <w:top w:w="15" w:type="dxa"/>
              <w:left w:w="15" w:type="dxa"/>
              <w:right w:w="15" w:type="dxa"/>
            </w:tcMar>
            <w:vAlign w:val="center"/>
          </w:tcPr>
          <w:p>
            <w:pPr>
              <w:spacing w:line="240" w:lineRule="auto"/>
              <w:ind w:firstLine="0" w:firstLineChars="0"/>
              <w:jc w:val="left"/>
              <w:rPr>
                <w:rFonts w:ascii="宋体" w:hAnsi="宋体" w:eastAsia="宋体" w:cs="宋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6" w:hRule="atLeast"/>
        </w:trPr>
        <w:tc>
          <w:tcPr>
            <w:tcW w:w="1115" w:type="dxa"/>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hint="eastAsia" w:ascii="黑体" w:hAnsi="黑体"/>
                <w:color w:val="auto"/>
                <w:sz w:val="21"/>
                <w:szCs w:val="21"/>
              </w:rPr>
              <w:t>社区养老服务驿站（个）</w:t>
            </w:r>
          </w:p>
        </w:tc>
        <w:tc>
          <w:tcPr>
            <w:tcW w:w="990" w:type="dxa"/>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ascii="黑体" w:hAnsi="黑体"/>
                <w:color w:val="auto"/>
                <w:sz w:val="21"/>
                <w:szCs w:val="21"/>
              </w:rPr>
              <w:t>229</w:t>
            </w:r>
          </w:p>
        </w:tc>
        <w:tc>
          <w:tcPr>
            <w:tcW w:w="990" w:type="dxa"/>
            <w:shd w:val="clear" w:color="auto" w:fill="FFFFFF"/>
            <w:tcMar>
              <w:top w:w="15" w:type="dxa"/>
              <w:left w:w="15" w:type="dxa"/>
              <w:right w:w="15" w:type="dxa"/>
            </w:tcMar>
            <w:vAlign w:val="center"/>
          </w:tcPr>
          <w:p>
            <w:pPr>
              <w:widowControl/>
              <w:spacing w:line="240" w:lineRule="exact"/>
              <w:ind w:firstLine="0" w:firstLineChars="0"/>
              <w:jc w:val="center"/>
              <w:textAlignment w:val="center"/>
              <w:rPr>
                <w:rFonts w:ascii="黑体" w:hAnsi="黑体"/>
                <w:color w:val="auto"/>
                <w:sz w:val="21"/>
                <w:szCs w:val="21"/>
              </w:rPr>
            </w:pPr>
            <w:r>
              <w:rPr>
                <w:rFonts w:ascii="黑体" w:hAnsi="黑体"/>
                <w:color w:val="auto"/>
                <w:sz w:val="21"/>
                <w:szCs w:val="21"/>
              </w:rPr>
              <w:t>325</w:t>
            </w:r>
          </w:p>
        </w:tc>
        <w:tc>
          <w:tcPr>
            <w:tcW w:w="5934" w:type="dxa"/>
            <w:vMerge w:val="continue"/>
            <w:shd w:val="clear" w:color="auto" w:fill="FFFFFF"/>
            <w:tcMar>
              <w:top w:w="15" w:type="dxa"/>
              <w:left w:w="15" w:type="dxa"/>
              <w:right w:w="15" w:type="dxa"/>
            </w:tcMar>
            <w:vAlign w:val="center"/>
          </w:tcPr>
          <w:p>
            <w:pPr>
              <w:spacing w:line="240" w:lineRule="auto"/>
              <w:ind w:firstLine="0" w:firstLineChars="0"/>
              <w:jc w:val="left"/>
              <w:rPr>
                <w:rFonts w:ascii="宋体" w:hAnsi="宋体" w:eastAsia="宋体" w:cs="宋体"/>
                <w:color w:val="auto"/>
                <w:sz w:val="22"/>
                <w:szCs w:val="22"/>
              </w:rPr>
            </w:pPr>
          </w:p>
        </w:tc>
      </w:tr>
    </w:tbl>
    <w:p>
      <w:pPr>
        <w:spacing w:line="560" w:lineRule="exact"/>
        <w:ind w:firstLine="600"/>
        <w:rPr>
          <w:rFonts w:hint="eastAsia"/>
          <w:color w:val="auto"/>
        </w:rPr>
      </w:pPr>
    </w:p>
    <w:bookmarkEnd w:id="327"/>
    <w:bookmarkEnd w:id="341"/>
    <w:bookmarkEnd w:id="342"/>
    <w:bookmarkEnd w:id="343"/>
    <w:bookmarkEnd w:id="344"/>
    <w:bookmarkEnd w:id="345"/>
    <w:bookmarkEnd w:id="346"/>
    <w:p>
      <w:pPr>
        <w:pStyle w:val="3"/>
        <w:spacing w:before="205" w:after="205" w:line="560" w:lineRule="exact"/>
        <w:rPr>
          <w:color w:val="auto"/>
        </w:rPr>
      </w:pPr>
      <w:bookmarkStart w:id="349" w:name="_Toc16573"/>
      <w:bookmarkStart w:id="350" w:name="_Toc30223"/>
      <w:bookmarkStart w:id="351" w:name="_Toc7883"/>
      <w:bookmarkStart w:id="352" w:name="_Toc21267"/>
      <w:bookmarkStart w:id="353" w:name="_Toc16076"/>
      <w:bookmarkStart w:id="354" w:name="_Toc19489"/>
      <w:bookmarkStart w:id="355" w:name="_Toc239411851"/>
      <w:bookmarkStart w:id="356" w:name="_Toc17217_WPSOffice_Level2"/>
      <w:bookmarkStart w:id="357" w:name="_Toc21296_WPSOffice_Level2"/>
      <w:r>
        <w:rPr>
          <w:rFonts w:hint="eastAsia"/>
          <w:color w:val="auto"/>
        </w:rPr>
        <w:t>第</w:t>
      </w:r>
      <w:r>
        <w:rPr>
          <w:rFonts w:hint="eastAsia"/>
          <w:color w:val="auto"/>
          <w:lang w:eastAsia="zh-CN"/>
        </w:rPr>
        <w:t>三</w:t>
      </w:r>
      <w:r>
        <w:rPr>
          <w:rFonts w:hint="eastAsia"/>
          <w:color w:val="auto"/>
        </w:rPr>
        <w:t>节 规范设施配置</w:t>
      </w:r>
      <w:bookmarkEnd w:id="349"/>
      <w:bookmarkEnd w:id="350"/>
      <w:bookmarkEnd w:id="351"/>
      <w:bookmarkEnd w:id="352"/>
      <w:bookmarkEnd w:id="353"/>
      <w:bookmarkEnd w:id="354"/>
      <w:bookmarkEnd w:id="355"/>
    </w:p>
    <w:p>
      <w:pPr>
        <w:pStyle w:val="4"/>
        <w:spacing w:before="205" w:after="205" w:line="560" w:lineRule="exact"/>
        <w:rPr>
          <w:color w:val="auto"/>
        </w:rPr>
      </w:pPr>
      <w:r>
        <w:rPr>
          <w:color w:val="auto"/>
        </w:rPr>
        <w:t>第</w:t>
      </w:r>
      <w:r>
        <w:rPr>
          <w:rFonts w:hint="eastAsia"/>
          <w:color w:val="auto"/>
          <w:lang w:val="en-US" w:eastAsia="zh-CN"/>
        </w:rPr>
        <w:t>63</w:t>
      </w:r>
      <w:r>
        <w:rPr>
          <w:color w:val="auto"/>
        </w:rPr>
        <w:t>条</w:t>
      </w:r>
      <w:bookmarkEnd w:id="356"/>
      <w:r>
        <w:rPr>
          <w:rFonts w:hint="eastAsia"/>
          <w:color w:val="auto"/>
        </w:rPr>
        <w:t xml:space="preserve"> 严格设施配置标准</w:t>
      </w:r>
    </w:p>
    <w:p>
      <w:pPr>
        <w:spacing w:line="560" w:lineRule="exact"/>
        <w:ind w:firstLine="600"/>
        <w:rPr>
          <w:color w:val="auto"/>
        </w:rPr>
      </w:pPr>
      <w:r>
        <w:rPr>
          <w:color w:val="auto"/>
        </w:rPr>
        <w:t>积极面对北京</w:t>
      </w:r>
      <w:r>
        <w:rPr>
          <w:rFonts w:hint="eastAsia"/>
          <w:color w:val="auto"/>
        </w:rPr>
        <w:t>中</w:t>
      </w:r>
      <w:r>
        <w:rPr>
          <w:color w:val="auto"/>
        </w:rPr>
        <w:t>长期</w:t>
      </w:r>
      <w:r>
        <w:rPr>
          <w:rFonts w:hint="eastAsia"/>
          <w:color w:val="auto"/>
        </w:rPr>
        <w:t>人口</w:t>
      </w:r>
      <w:r>
        <w:rPr>
          <w:color w:val="auto"/>
        </w:rPr>
        <w:t>老龄化严峻形势，适</w:t>
      </w:r>
      <w:r>
        <w:rPr>
          <w:rFonts w:hint="eastAsia"/>
          <w:color w:val="auto"/>
        </w:rPr>
        <w:t>应</w:t>
      </w:r>
      <w:r>
        <w:rPr>
          <w:color w:val="auto"/>
        </w:rPr>
        <w:t>养老服务需求变化，在</w:t>
      </w:r>
      <w:r>
        <w:rPr>
          <w:rFonts w:hint="eastAsia"/>
          <w:color w:val="auto"/>
        </w:rPr>
        <w:t>严格落实、充分发挥</w:t>
      </w:r>
      <w:r>
        <w:rPr>
          <w:color w:val="auto"/>
        </w:rPr>
        <w:t>《北京市居住公共服务设施配置指标》《北京市养老服务设施专项规划（2015年</w:t>
      </w:r>
      <w:r>
        <w:rPr>
          <w:rFonts w:hint="eastAsia"/>
          <w:color w:val="auto"/>
        </w:rPr>
        <w:t>-2</w:t>
      </w:r>
      <w:r>
        <w:rPr>
          <w:color w:val="auto"/>
        </w:rPr>
        <w:t>020</w:t>
      </w:r>
      <w:r>
        <w:rPr>
          <w:rFonts w:hint="eastAsia"/>
          <w:color w:val="auto"/>
        </w:rPr>
        <w:t>年</w:t>
      </w:r>
      <w:r>
        <w:rPr>
          <w:color w:val="auto"/>
        </w:rPr>
        <w:t>）》等养老服务设施规划标准基础上，</w:t>
      </w:r>
      <w:r>
        <w:rPr>
          <w:rFonts w:hint="eastAsia"/>
          <w:color w:val="auto"/>
        </w:rPr>
        <w:t>着力</w:t>
      </w:r>
      <w:r>
        <w:rPr>
          <w:color w:val="auto"/>
        </w:rPr>
        <w:t>优化</w:t>
      </w:r>
      <w:r>
        <w:rPr>
          <w:rFonts w:hint="eastAsia"/>
          <w:color w:val="auto"/>
        </w:rPr>
        <w:t>、</w:t>
      </w:r>
      <w:r>
        <w:rPr>
          <w:color w:val="auto"/>
        </w:rPr>
        <w:t>细化机构养老服务设施、居家社区养老服务设施的配置标准、建设指标等内容</w:t>
      </w:r>
      <w:r>
        <w:rPr>
          <w:rFonts w:hint="eastAsia"/>
          <w:color w:val="auto"/>
        </w:rPr>
        <w:t>。</w:t>
      </w:r>
      <w:r>
        <w:rPr>
          <w:color w:val="auto"/>
        </w:rPr>
        <w:t>按照城乡全覆盖原则，结合《北京市村庄规划导则（试行）》要求，补充村庄层级养老服务设施配置标准；突出本规划老残儿一体的理念和原则，将残疾人</w:t>
      </w:r>
      <w:r>
        <w:rPr>
          <w:rFonts w:hint="eastAsia"/>
          <w:color w:val="auto"/>
        </w:rPr>
        <w:t>托养所</w:t>
      </w:r>
      <w:r>
        <w:rPr>
          <w:color w:val="auto"/>
        </w:rPr>
        <w:t>、社区助残服务中心、儿童福利院等配置要求纳入</w:t>
      </w:r>
      <w:r>
        <w:rPr>
          <w:rFonts w:hint="eastAsia"/>
          <w:color w:val="auto"/>
        </w:rPr>
        <w:t>城乡社区养老服务设施</w:t>
      </w:r>
      <w:r>
        <w:rPr>
          <w:color w:val="auto"/>
        </w:rPr>
        <w:t>规划标准</w:t>
      </w:r>
      <w:r>
        <w:rPr>
          <w:rFonts w:hint="eastAsia"/>
          <w:color w:val="auto"/>
        </w:rPr>
        <w:t>及目标</w:t>
      </w:r>
      <w:r>
        <w:rPr>
          <w:color w:val="auto"/>
        </w:rPr>
        <w:t>中。</w:t>
      </w:r>
      <w:r>
        <w:rPr>
          <w:rFonts w:hint="eastAsia"/>
          <w:color w:val="auto"/>
        </w:rPr>
        <w:t>同时综合</w:t>
      </w:r>
      <w:r>
        <w:rPr>
          <w:color w:val="auto"/>
        </w:rPr>
        <w:t>考虑到建成区与新建区、城镇地区和农村在用地</w:t>
      </w:r>
      <w:r>
        <w:rPr>
          <w:rFonts w:hint="eastAsia"/>
          <w:color w:val="auto"/>
        </w:rPr>
        <w:t>的</w:t>
      </w:r>
      <w:r>
        <w:rPr>
          <w:color w:val="auto"/>
        </w:rPr>
        <w:t>资源等方面的差异性，规划指标留有一定弹性，以适应不同地区实际情况和发展需求。</w:t>
      </w:r>
    </w:p>
    <w:p>
      <w:pPr>
        <w:pStyle w:val="15"/>
        <w:spacing w:after="205" w:line="560" w:lineRule="exact"/>
        <w:rPr>
          <w:color w:val="auto"/>
        </w:rPr>
      </w:pPr>
      <w:bookmarkStart w:id="358" w:name="_Toc18969_WPSOffice_Level2"/>
      <w:bookmarkStart w:id="359" w:name="_Toc28338_WPSOffice_Level2"/>
      <w:bookmarkStart w:id="360" w:name="_Toc29967_WPSOffice_Level2"/>
      <w:r>
        <w:rPr>
          <w:rFonts w:hint="eastAsia"/>
          <w:color w:val="auto"/>
        </w:rPr>
        <w:t>表</w:t>
      </w:r>
      <w:r>
        <w:rPr>
          <w:color w:val="auto"/>
        </w:rPr>
        <w:t>7</w:t>
      </w:r>
      <w:r>
        <w:rPr>
          <w:rFonts w:hint="eastAsia"/>
          <w:color w:val="auto"/>
        </w:rPr>
        <w:t xml:space="preserve"> 各类服务设施建设标准</w:t>
      </w:r>
    </w:p>
    <w:tbl>
      <w:tblPr>
        <w:tblStyle w:val="39"/>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161"/>
        <w:gridCol w:w="1210"/>
        <w:gridCol w:w="1513"/>
        <w:gridCol w:w="4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blHeader/>
          <w:jc w:val="center"/>
        </w:trPr>
        <w:tc>
          <w:tcPr>
            <w:tcW w:w="1365" w:type="dxa"/>
            <w:vAlign w:val="center"/>
          </w:tcPr>
          <w:p>
            <w:pPr>
              <w:pStyle w:val="44"/>
              <w:spacing w:line="560" w:lineRule="exact"/>
              <w:rPr>
                <w:rFonts w:eastAsia="黑体"/>
                <w:b w:val="0"/>
                <w:bCs w:val="0"/>
                <w:color w:val="auto"/>
                <w:sz w:val="22"/>
                <w:szCs w:val="22"/>
              </w:rPr>
            </w:pPr>
            <w:r>
              <w:rPr>
                <w:rFonts w:hint="eastAsia" w:eastAsia="黑体"/>
                <w:b w:val="0"/>
                <w:bCs w:val="0"/>
                <w:color w:val="auto"/>
                <w:sz w:val="22"/>
                <w:szCs w:val="22"/>
              </w:rPr>
              <w:t>设施名称</w:t>
            </w:r>
          </w:p>
        </w:tc>
        <w:tc>
          <w:tcPr>
            <w:tcW w:w="1161" w:type="dxa"/>
            <w:vAlign w:val="center"/>
          </w:tcPr>
          <w:p>
            <w:pPr>
              <w:pStyle w:val="44"/>
              <w:spacing w:line="560" w:lineRule="exact"/>
              <w:rPr>
                <w:rFonts w:eastAsia="黑体"/>
                <w:b w:val="0"/>
                <w:bCs w:val="0"/>
                <w:color w:val="auto"/>
                <w:sz w:val="22"/>
                <w:szCs w:val="22"/>
              </w:rPr>
            </w:pPr>
            <w:r>
              <w:rPr>
                <w:rFonts w:hint="eastAsia" w:eastAsia="黑体"/>
                <w:b w:val="0"/>
                <w:bCs w:val="0"/>
                <w:color w:val="auto"/>
                <w:sz w:val="22"/>
                <w:szCs w:val="22"/>
              </w:rPr>
              <w:t>建设区域</w:t>
            </w:r>
          </w:p>
        </w:tc>
        <w:tc>
          <w:tcPr>
            <w:tcW w:w="1210" w:type="dxa"/>
            <w:vAlign w:val="center"/>
          </w:tcPr>
          <w:p>
            <w:pPr>
              <w:pStyle w:val="44"/>
              <w:spacing w:line="560" w:lineRule="exact"/>
              <w:rPr>
                <w:rFonts w:eastAsia="黑体"/>
                <w:b w:val="0"/>
                <w:bCs w:val="0"/>
                <w:color w:val="auto"/>
                <w:sz w:val="22"/>
                <w:szCs w:val="22"/>
              </w:rPr>
            </w:pPr>
            <w:r>
              <w:rPr>
                <w:rFonts w:hint="eastAsia" w:eastAsia="黑体"/>
                <w:b w:val="0"/>
                <w:bCs w:val="0"/>
                <w:color w:val="auto"/>
                <w:sz w:val="22"/>
                <w:szCs w:val="22"/>
              </w:rPr>
              <w:t>每处服务规模</w:t>
            </w:r>
          </w:p>
        </w:tc>
        <w:tc>
          <w:tcPr>
            <w:tcW w:w="1513" w:type="dxa"/>
            <w:vAlign w:val="center"/>
          </w:tcPr>
          <w:p>
            <w:pPr>
              <w:pStyle w:val="44"/>
              <w:spacing w:line="560" w:lineRule="exact"/>
              <w:rPr>
                <w:rFonts w:eastAsia="黑体"/>
                <w:b w:val="0"/>
                <w:bCs w:val="0"/>
                <w:color w:val="auto"/>
                <w:sz w:val="22"/>
                <w:szCs w:val="22"/>
              </w:rPr>
            </w:pPr>
            <w:r>
              <w:rPr>
                <w:rFonts w:hint="eastAsia" w:eastAsia="黑体"/>
                <w:b w:val="0"/>
                <w:bCs w:val="0"/>
                <w:color w:val="auto"/>
                <w:sz w:val="22"/>
                <w:szCs w:val="22"/>
              </w:rPr>
              <w:t>每处一般</w:t>
            </w:r>
          </w:p>
          <w:p>
            <w:pPr>
              <w:pStyle w:val="44"/>
              <w:spacing w:line="560" w:lineRule="exact"/>
              <w:rPr>
                <w:rFonts w:eastAsia="黑体"/>
                <w:b w:val="0"/>
                <w:bCs w:val="0"/>
                <w:color w:val="auto"/>
                <w:sz w:val="22"/>
                <w:szCs w:val="22"/>
              </w:rPr>
            </w:pPr>
            <w:r>
              <w:rPr>
                <w:rFonts w:hint="eastAsia" w:eastAsia="黑体"/>
                <w:b w:val="0"/>
                <w:bCs w:val="0"/>
                <w:color w:val="auto"/>
                <w:sz w:val="22"/>
                <w:szCs w:val="22"/>
              </w:rPr>
              <w:t>规模</w:t>
            </w:r>
          </w:p>
        </w:tc>
        <w:tc>
          <w:tcPr>
            <w:tcW w:w="4009" w:type="dxa"/>
            <w:vAlign w:val="center"/>
          </w:tcPr>
          <w:p>
            <w:pPr>
              <w:pStyle w:val="44"/>
              <w:spacing w:line="560" w:lineRule="exact"/>
              <w:rPr>
                <w:rFonts w:eastAsia="黑体"/>
                <w:b w:val="0"/>
                <w:bCs w:val="0"/>
                <w:color w:val="auto"/>
                <w:sz w:val="22"/>
                <w:szCs w:val="22"/>
              </w:rPr>
            </w:pPr>
            <w:r>
              <w:rPr>
                <w:rFonts w:hint="eastAsia" w:eastAsia="黑体"/>
                <w:b w:val="0"/>
                <w:bCs w:val="0"/>
                <w:color w:val="auto"/>
                <w:sz w:val="22"/>
                <w:szCs w:val="22"/>
              </w:rPr>
              <w:t>具体建设要求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365" w:type="dxa"/>
            <w:vMerge w:val="restart"/>
            <w:vAlign w:val="center"/>
          </w:tcPr>
          <w:p>
            <w:pPr>
              <w:pStyle w:val="44"/>
              <w:spacing w:line="560" w:lineRule="exact"/>
              <w:jc w:val="both"/>
              <w:rPr>
                <w:rFonts w:eastAsia="黑体"/>
                <w:b w:val="0"/>
                <w:bCs w:val="0"/>
                <w:color w:val="auto"/>
                <w:sz w:val="22"/>
                <w:szCs w:val="22"/>
              </w:rPr>
            </w:pPr>
            <w:r>
              <w:rPr>
                <w:rFonts w:hint="eastAsia" w:eastAsia="黑体"/>
                <w:b w:val="0"/>
                <w:bCs w:val="0"/>
                <w:color w:val="auto"/>
                <w:sz w:val="22"/>
                <w:szCs w:val="22"/>
              </w:rPr>
              <w:t>就近安排的机构养老服务设施（含街乡镇养老照料中心）</w:t>
            </w:r>
          </w:p>
        </w:tc>
        <w:tc>
          <w:tcPr>
            <w:tcW w:w="1161" w:type="dxa"/>
            <w:vAlign w:val="center"/>
          </w:tcPr>
          <w:p>
            <w:pPr>
              <w:pStyle w:val="44"/>
              <w:spacing w:line="560" w:lineRule="exact"/>
              <w:rPr>
                <w:rFonts w:ascii="等线" w:hAnsi="等线" w:eastAsia="等线" w:cs="等线"/>
                <w:b w:val="0"/>
                <w:bCs w:val="0"/>
                <w:color w:val="auto"/>
                <w:sz w:val="18"/>
                <w:szCs w:val="21"/>
              </w:rPr>
            </w:pPr>
            <w:r>
              <w:rPr>
                <w:rFonts w:hint="eastAsia" w:ascii="等线" w:hAnsi="等线" w:eastAsia="等线" w:cs="等线"/>
                <w:b w:val="0"/>
                <w:bCs w:val="0"/>
                <w:color w:val="auto"/>
                <w:sz w:val="18"/>
                <w:szCs w:val="21"/>
              </w:rPr>
              <w:t>核心区</w:t>
            </w:r>
          </w:p>
        </w:tc>
        <w:tc>
          <w:tcPr>
            <w:tcW w:w="1210" w:type="dxa"/>
            <w:vMerge w:val="restart"/>
            <w:vAlign w:val="center"/>
          </w:tcPr>
          <w:p>
            <w:pPr>
              <w:pStyle w:val="44"/>
              <w:spacing w:line="560" w:lineRule="exact"/>
              <w:jc w:val="left"/>
              <w:rPr>
                <w:rFonts w:ascii="等线" w:hAnsi="等线" w:eastAsia="等线" w:cs="等线"/>
                <w:b w:val="0"/>
                <w:bCs w:val="0"/>
                <w:color w:val="auto"/>
                <w:sz w:val="18"/>
                <w:szCs w:val="21"/>
              </w:rPr>
            </w:pPr>
            <w:r>
              <w:rPr>
                <w:rFonts w:hint="eastAsia" w:ascii="等线" w:hAnsi="等线" w:eastAsia="等线" w:cs="等线"/>
                <w:b w:val="0"/>
                <w:bCs w:val="0"/>
                <w:color w:val="auto"/>
                <w:sz w:val="18"/>
                <w:szCs w:val="21"/>
              </w:rPr>
              <w:t>至20</w:t>
            </w:r>
            <w:r>
              <w:rPr>
                <w:rFonts w:hint="eastAsia" w:ascii="等线" w:hAnsi="等线" w:eastAsia="等线" w:cs="等线"/>
                <w:b w:val="0"/>
                <w:bCs w:val="0"/>
                <w:color w:val="auto"/>
                <w:sz w:val="18"/>
                <w:szCs w:val="21"/>
                <w:lang w:val="en-US" w:eastAsia="zh-CN"/>
              </w:rPr>
              <w:t>3</w:t>
            </w:r>
            <w:r>
              <w:rPr>
                <w:rFonts w:hint="eastAsia" w:ascii="等线" w:hAnsi="等线" w:eastAsia="等线" w:cs="等线"/>
                <w:b w:val="0"/>
                <w:bCs w:val="0"/>
                <w:color w:val="auto"/>
                <w:sz w:val="18"/>
                <w:szCs w:val="21"/>
              </w:rPr>
              <w:t>5年，每个街乡镇至少建设一处养老照料中心</w:t>
            </w:r>
          </w:p>
        </w:tc>
        <w:tc>
          <w:tcPr>
            <w:tcW w:w="1513" w:type="dxa"/>
            <w:vAlign w:val="center"/>
          </w:tcPr>
          <w:p>
            <w:pPr>
              <w:pStyle w:val="44"/>
              <w:spacing w:line="560" w:lineRule="exact"/>
              <w:rPr>
                <w:rFonts w:ascii="等线" w:hAnsi="等线" w:eastAsia="等线" w:cs="等线"/>
                <w:b w:val="0"/>
                <w:bCs w:val="0"/>
                <w:color w:val="auto"/>
                <w:sz w:val="18"/>
                <w:szCs w:val="21"/>
              </w:rPr>
            </w:pPr>
            <w:r>
              <w:rPr>
                <w:rFonts w:hint="eastAsia" w:ascii="等线" w:hAnsi="等线" w:eastAsia="等线" w:cs="等线"/>
                <w:b w:val="0"/>
                <w:bCs w:val="0"/>
                <w:color w:val="auto"/>
                <w:sz w:val="18"/>
                <w:szCs w:val="21"/>
              </w:rPr>
              <w:t>不高于100床</w:t>
            </w:r>
          </w:p>
        </w:tc>
        <w:tc>
          <w:tcPr>
            <w:tcW w:w="4009" w:type="dxa"/>
            <w:vMerge w:val="restart"/>
            <w:vAlign w:val="center"/>
          </w:tcPr>
          <w:p>
            <w:pPr>
              <w:pStyle w:val="44"/>
              <w:spacing w:line="560" w:lineRule="exact"/>
              <w:jc w:val="both"/>
              <w:rPr>
                <w:rFonts w:ascii="等线" w:hAnsi="等线" w:eastAsia="等线" w:cs="等线"/>
                <w:b w:val="0"/>
                <w:bCs w:val="0"/>
                <w:color w:val="auto"/>
                <w:sz w:val="18"/>
                <w:szCs w:val="21"/>
              </w:rPr>
            </w:pPr>
            <w:r>
              <w:rPr>
                <w:rFonts w:hint="eastAsia" w:ascii="等线" w:hAnsi="等线" w:eastAsia="等线" w:cs="等线"/>
                <w:b w:val="0"/>
                <w:bCs w:val="0"/>
                <w:color w:val="auto"/>
                <w:sz w:val="18"/>
                <w:szCs w:val="21"/>
              </w:rPr>
              <w:t>每30-40万平方米住宅配建100床；新建机构床均建筑面积不低于40平方米；现状改扩建和其他设施改建机构床均建筑面积不低于30平方米；200床及以上需为独栋建筑，有室外活动场地；新建机构建筑高度不宜大于32米、容积率一般为1.2-2.0，现状改扩建和其他设施改建机构建筑高度不应大于54米、容积率不应超过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365" w:type="dxa"/>
            <w:vMerge w:val="continue"/>
            <w:vAlign w:val="center"/>
          </w:tcPr>
          <w:p>
            <w:pPr>
              <w:pStyle w:val="44"/>
              <w:spacing w:line="560" w:lineRule="exact"/>
              <w:rPr>
                <w:rFonts w:eastAsia="黑体"/>
                <w:b w:val="0"/>
                <w:bCs w:val="0"/>
                <w:color w:val="auto"/>
                <w:sz w:val="22"/>
                <w:szCs w:val="22"/>
              </w:rPr>
            </w:pPr>
          </w:p>
        </w:tc>
        <w:tc>
          <w:tcPr>
            <w:tcW w:w="1161" w:type="dxa"/>
            <w:vAlign w:val="center"/>
          </w:tcPr>
          <w:p>
            <w:pPr>
              <w:pStyle w:val="44"/>
              <w:spacing w:line="560" w:lineRule="exact"/>
              <w:rPr>
                <w:rFonts w:ascii="等线" w:hAnsi="等线" w:eastAsia="等线" w:cs="等线"/>
                <w:b w:val="0"/>
                <w:bCs w:val="0"/>
                <w:color w:val="auto"/>
                <w:sz w:val="18"/>
                <w:szCs w:val="21"/>
              </w:rPr>
            </w:pPr>
            <w:r>
              <w:rPr>
                <w:rFonts w:hint="eastAsia" w:ascii="等线" w:hAnsi="等线" w:eastAsia="等线" w:cs="等线"/>
                <w:b w:val="0"/>
                <w:bCs w:val="0"/>
                <w:color w:val="auto"/>
                <w:sz w:val="18"/>
                <w:szCs w:val="21"/>
              </w:rPr>
              <w:t>中心城区</w:t>
            </w:r>
          </w:p>
        </w:tc>
        <w:tc>
          <w:tcPr>
            <w:tcW w:w="1210" w:type="dxa"/>
            <w:vMerge w:val="continue"/>
            <w:vAlign w:val="center"/>
          </w:tcPr>
          <w:p>
            <w:pPr>
              <w:pStyle w:val="44"/>
              <w:spacing w:line="560" w:lineRule="exact"/>
              <w:rPr>
                <w:rFonts w:ascii="等线" w:hAnsi="等线" w:eastAsia="等线" w:cs="等线"/>
                <w:b w:val="0"/>
                <w:bCs w:val="0"/>
                <w:color w:val="auto"/>
                <w:sz w:val="18"/>
                <w:szCs w:val="21"/>
              </w:rPr>
            </w:pPr>
          </w:p>
        </w:tc>
        <w:tc>
          <w:tcPr>
            <w:tcW w:w="1513" w:type="dxa"/>
            <w:vAlign w:val="center"/>
          </w:tcPr>
          <w:p>
            <w:pPr>
              <w:pStyle w:val="44"/>
              <w:spacing w:line="560" w:lineRule="exact"/>
              <w:rPr>
                <w:rFonts w:ascii="等线" w:hAnsi="等线" w:eastAsia="等线" w:cs="等线"/>
                <w:b w:val="0"/>
                <w:bCs w:val="0"/>
                <w:color w:val="auto"/>
                <w:sz w:val="18"/>
                <w:szCs w:val="21"/>
              </w:rPr>
            </w:pPr>
            <w:r>
              <w:rPr>
                <w:rFonts w:hint="eastAsia" w:ascii="等线" w:hAnsi="等线" w:eastAsia="等线" w:cs="等线"/>
                <w:b w:val="0"/>
                <w:bCs w:val="0"/>
                <w:color w:val="auto"/>
                <w:sz w:val="18"/>
                <w:szCs w:val="21"/>
              </w:rPr>
              <w:t>50-150床</w:t>
            </w:r>
          </w:p>
        </w:tc>
        <w:tc>
          <w:tcPr>
            <w:tcW w:w="4009" w:type="dxa"/>
            <w:vMerge w:val="continue"/>
            <w:vAlign w:val="center"/>
          </w:tcPr>
          <w:p>
            <w:pPr>
              <w:pStyle w:val="44"/>
              <w:spacing w:line="560" w:lineRule="exact"/>
              <w:rPr>
                <w:rFonts w:ascii="等线" w:hAnsi="等线" w:eastAsia="等线" w:cs="等线"/>
                <w:b w:val="0"/>
                <w:bCs w:val="0"/>
                <w:color w:val="auto"/>
                <w:sz w:val="15"/>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365" w:type="dxa"/>
            <w:vMerge w:val="continue"/>
            <w:vAlign w:val="center"/>
          </w:tcPr>
          <w:p>
            <w:pPr>
              <w:pStyle w:val="44"/>
              <w:spacing w:line="560" w:lineRule="exact"/>
              <w:rPr>
                <w:rFonts w:eastAsia="黑体"/>
                <w:b w:val="0"/>
                <w:bCs w:val="0"/>
                <w:color w:val="auto"/>
                <w:sz w:val="22"/>
                <w:szCs w:val="22"/>
              </w:rPr>
            </w:pPr>
          </w:p>
        </w:tc>
        <w:tc>
          <w:tcPr>
            <w:tcW w:w="1161" w:type="dxa"/>
            <w:vAlign w:val="center"/>
          </w:tcPr>
          <w:p>
            <w:pPr>
              <w:pStyle w:val="44"/>
              <w:spacing w:line="560" w:lineRule="exact"/>
              <w:rPr>
                <w:rFonts w:ascii="等线" w:hAnsi="等线" w:eastAsia="等线" w:cs="等线"/>
                <w:b w:val="0"/>
                <w:bCs w:val="0"/>
                <w:color w:val="auto"/>
                <w:sz w:val="18"/>
                <w:szCs w:val="21"/>
              </w:rPr>
            </w:pPr>
            <w:r>
              <w:rPr>
                <w:rFonts w:hint="eastAsia" w:ascii="等线" w:hAnsi="等线" w:eastAsia="等线" w:cs="等线"/>
                <w:b w:val="0"/>
                <w:bCs w:val="0"/>
                <w:color w:val="auto"/>
                <w:sz w:val="18"/>
                <w:szCs w:val="21"/>
              </w:rPr>
              <w:t>副中心</w:t>
            </w:r>
          </w:p>
        </w:tc>
        <w:tc>
          <w:tcPr>
            <w:tcW w:w="1210" w:type="dxa"/>
            <w:vMerge w:val="continue"/>
            <w:vAlign w:val="center"/>
          </w:tcPr>
          <w:p>
            <w:pPr>
              <w:pStyle w:val="44"/>
              <w:spacing w:line="560" w:lineRule="exact"/>
              <w:rPr>
                <w:rFonts w:ascii="等线" w:hAnsi="等线" w:eastAsia="等线" w:cs="等线"/>
                <w:b w:val="0"/>
                <w:bCs w:val="0"/>
                <w:color w:val="auto"/>
                <w:sz w:val="18"/>
                <w:szCs w:val="21"/>
              </w:rPr>
            </w:pPr>
          </w:p>
        </w:tc>
        <w:tc>
          <w:tcPr>
            <w:tcW w:w="1513" w:type="dxa"/>
            <w:vAlign w:val="center"/>
          </w:tcPr>
          <w:p>
            <w:pPr>
              <w:pStyle w:val="44"/>
              <w:spacing w:line="560" w:lineRule="exact"/>
              <w:rPr>
                <w:rFonts w:ascii="等线" w:hAnsi="等线" w:eastAsia="等线" w:cs="等线"/>
                <w:b w:val="0"/>
                <w:bCs w:val="0"/>
                <w:color w:val="auto"/>
                <w:sz w:val="18"/>
                <w:szCs w:val="21"/>
              </w:rPr>
            </w:pPr>
            <w:r>
              <w:rPr>
                <w:rFonts w:hint="eastAsia" w:ascii="等线" w:hAnsi="等线" w:eastAsia="等线" w:cs="等线"/>
                <w:b w:val="0"/>
                <w:bCs w:val="0"/>
                <w:color w:val="auto"/>
                <w:sz w:val="18"/>
                <w:szCs w:val="21"/>
              </w:rPr>
              <w:t>100-500床</w:t>
            </w:r>
          </w:p>
        </w:tc>
        <w:tc>
          <w:tcPr>
            <w:tcW w:w="4009" w:type="dxa"/>
            <w:vMerge w:val="continue"/>
            <w:vAlign w:val="center"/>
          </w:tcPr>
          <w:p>
            <w:pPr>
              <w:pStyle w:val="44"/>
              <w:spacing w:line="560" w:lineRule="exact"/>
              <w:rPr>
                <w:rFonts w:ascii="等线" w:hAnsi="等线" w:eastAsia="等线" w:cs="等线"/>
                <w:b w:val="0"/>
                <w:bCs w:val="0"/>
                <w:color w:val="auto"/>
                <w:sz w:val="15"/>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7" w:hRule="atLeast"/>
          <w:jc w:val="center"/>
        </w:trPr>
        <w:tc>
          <w:tcPr>
            <w:tcW w:w="1365" w:type="dxa"/>
            <w:vMerge w:val="continue"/>
            <w:vAlign w:val="center"/>
          </w:tcPr>
          <w:p>
            <w:pPr>
              <w:pStyle w:val="44"/>
              <w:spacing w:line="560" w:lineRule="exact"/>
              <w:rPr>
                <w:rFonts w:eastAsia="黑体"/>
                <w:b w:val="0"/>
                <w:bCs w:val="0"/>
                <w:color w:val="auto"/>
                <w:sz w:val="22"/>
                <w:szCs w:val="22"/>
              </w:rPr>
            </w:pPr>
          </w:p>
        </w:tc>
        <w:tc>
          <w:tcPr>
            <w:tcW w:w="1161" w:type="dxa"/>
            <w:vAlign w:val="center"/>
          </w:tcPr>
          <w:p>
            <w:pPr>
              <w:pStyle w:val="44"/>
              <w:spacing w:line="560" w:lineRule="exact"/>
              <w:jc w:val="left"/>
              <w:rPr>
                <w:rFonts w:ascii="等线" w:hAnsi="等线" w:eastAsia="等线" w:cs="等线"/>
                <w:b w:val="0"/>
                <w:bCs w:val="0"/>
                <w:color w:val="auto"/>
                <w:sz w:val="18"/>
                <w:szCs w:val="21"/>
              </w:rPr>
            </w:pPr>
            <w:r>
              <w:rPr>
                <w:rFonts w:hint="eastAsia" w:ascii="等线" w:hAnsi="等线" w:eastAsia="等线" w:cs="等线"/>
                <w:b w:val="0"/>
                <w:bCs w:val="0"/>
                <w:color w:val="auto"/>
                <w:sz w:val="18"/>
                <w:szCs w:val="21"/>
              </w:rPr>
              <w:t>多点地区及生态涵养区</w:t>
            </w:r>
          </w:p>
        </w:tc>
        <w:tc>
          <w:tcPr>
            <w:tcW w:w="1210" w:type="dxa"/>
            <w:vMerge w:val="continue"/>
            <w:vAlign w:val="center"/>
          </w:tcPr>
          <w:p>
            <w:pPr>
              <w:pStyle w:val="44"/>
              <w:spacing w:line="560" w:lineRule="exact"/>
              <w:rPr>
                <w:rFonts w:ascii="等线" w:hAnsi="等线" w:eastAsia="等线" w:cs="等线"/>
                <w:b w:val="0"/>
                <w:bCs w:val="0"/>
                <w:color w:val="auto"/>
                <w:sz w:val="18"/>
                <w:szCs w:val="21"/>
              </w:rPr>
            </w:pPr>
          </w:p>
        </w:tc>
        <w:tc>
          <w:tcPr>
            <w:tcW w:w="1513" w:type="dxa"/>
            <w:vAlign w:val="center"/>
          </w:tcPr>
          <w:p>
            <w:pPr>
              <w:pStyle w:val="44"/>
              <w:spacing w:line="560" w:lineRule="exact"/>
              <w:rPr>
                <w:rFonts w:ascii="等线" w:hAnsi="等线" w:eastAsia="等线" w:cs="等线"/>
                <w:b w:val="0"/>
                <w:bCs w:val="0"/>
                <w:color w:val="auto"/>
                <w:sz w:val="18"/>
                <w:szCs w:val="21"/>
              </w:rPr>
            </w:pPr>
            <w:r>
              <w:rPr>
                <w:rFonts w:hint="eastAsia" w:ascii="等线" w:hAnsi="等线" w:eastAsia="等线" w:cs="等线"/>
                <w:b w:val="0"/>
                <w:bCs w:val="0"/>
                <w:color w:val="auto"/>
                <w:sz w:val="18"/>
                <w:szCs w:val="21"/>
              </w:rPr>
              <w:t>100-500床</w:t>
            </w:r>
          </w:p>
        </w:tc>
        <w:tc>
          <w:tcPr>
            <w:tcW w:w="4009" w:type="dxa"/>
            <w:vMerge w:val="continue"/>
            <w:vAlign w:val="center"/>
          </w:tcPr>
          <w:p>
            <w:pPr>
              <w:pStyle w:val="44"/>
              <w:spacing w:line="560" w:lineRule="exact"/>
              <w:rPr>
                <w:rFonts w:ascii="等线" w:hAnsi="等线" w:eastAsia="等线" w:cs="等线"/>
                <w:b w:val="0"/>
                <w:bCs w:val="0"/>
                <w:color w:val="auto"/>
                <w:sz w:val="15"/>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 w:hRule="atLeast"/>
          <w:jc w:val="center"/>
        </w:trPr>
        <w:tc>
          <w:tcPr>
            <w:tcW w:w="1365" w:type="dxa"/>
            <w:vMerge w:val="restart"/>
            <w:vAlign w:val="center"/>
          </w:tcPr>
          <w:p>
            <w:pPr>
              <w:pStyle w:val="44"/>
              <w:spacing w:line="560" w:lineRule="exact"/>
              <w:rPr>
                <w:rFonts w:eastAsia="黑体"/>
                <w:b w:val="0"/>
                <w:bCs w:val="0"/>
                <w:color w:val="auto"/>
                <w:sz w:val="22"/>
                <w:szCs w:val="22"/>
              </w:rPr>
            </w:pPr>
            <w:r>
              <w:rPr>
                <w:rFonts w:hint="eastAsia" w:eastAsia="黑体"/>
                <w:b w:val="0"/>
                <w:bCs w:val="0"/>
                <w:color w:val="auto"/>
                <w:sz w:val="22"/>
                <w:szCs w:val="22"/>
              </w:rPr>
              <w:t>社区养老</w:t>
            </w:r>
          </w:p>
          <w:p>
            <w:pPr>
              <w:pStyle w:val="44"/>
              <w:spacing w:line="560" w:lineRule="exact"/>
              <w:rPr>
                <w:rFonts w:eastAsia="黑体"/>
                <w:b w:val="0"/>
                <w:bCs w:val="0"/>
                <w:color w:val="auto"/>
                <w:sz w:val="22"/>
                <w:szCs w:val="22"/>
              </w:rPr>
            </w:pPr>
            <w:r>
              <w:rPr>
                <w:rFonts w:hint="eastAsia" w:eastAsia="黑体"/>
                <w:b w:val="0"/>
                <w:bCs w:val="0"/>
                <w:color w:val="auto"/>
                <w:sz w:val="22"/>
                <w:szCs w:val="22"/>
              </w:rPr>
              <w:t>服务驿站</w:t>
            </w:r>
          </w:p>
        </w:tc>
        <w:tc>
          <w:tcPr>
            <w:tcW w:w="1161" w:type="dxa"/>
            <w:vMerge w:val="restart"/>
            <w:vAlign w:val="center"/>
          </w:tcPr>
          <w:p>
            <w:pPr>
              <w:pStyle w:val="44"/>
              <w:spacing w:line="560" w:lineRule="exact"/>
              <w:jc w:val="left"/>
              <w:rPr>
                <w:rFonts w:ascii="等线" w:hAnsi="等线" w:eastAsia="等线" w:cs="等线"/>
                <w:b w:val="0"/>
                <w:bCs w:val="0"/>
                <w:color w:val="auto"/>
                <w:sz w:val="18"/>
                <w:szCs w:val="18"/>
              </w:rPr>
            </w:pPr>
            <w:r>
              <w:rPr>
                <w:rFonts w:hint="eastAsia" w:ascii="等线" w:hAnsi="等线" w:eastAsia="等线" w:cs="等线"/>
                <w:b w:val="0"/>
                <w:bCs w:val="0"/>
                <w:color w:val="auto"/>
                <w:sz w:val="18"/>
                <w:szCs w:val="18"/>
              </w:rPr>
              <w:t>城镇新建、改建地区</w:t>
            </w:r>
          </w:p>
        </w:tc>
        <w:tc>
          <w:tcPr>
            <w:tcW w:w="1210" w:type="dxa"/>
            <w:vMerge w:val="restart"/>
            <w:vAlign w:val="center"/>
          </w:tcPr>
          <w:p>
            <w:pPr>
              <w:pStyle w:val="44"/>
              <w:spacing w:line="560" w:lineRule="exact"/>
              <w:jc w:val="both"/>
              <w:rPr>
                <w:rFonts w:ascii="等线" w:hAnsi="等线" w:eastAsia="等线" w:cs="等线"/>
                <w:b w:val="0"/>
                <w:bCs w:val="0"/>
                <w:color w:val="auto"/>
                <w:sz w:val="18"/>
                <w:szCs w:val="18"/>
              </w:rPr>
            </w:pPr>
            <w:r>
              <w:rPr>
                <w:rFonts w:hint="eastAsia" w:ascii="等线" w:hAnsi="等线" w:eastAsia="等线" w:cs="等线"/>
                <w:b w:val="0"/>
                <w:bCs w:val="0"/>
                <w:color w:val="auto"/>
                <w:sz w:val="18"/>
                <w:szCs w:val="18"/>
              </w:rPr>
              <w:t>服务半径1000米及社区范围内</w:t>
            </w:r>
          </w:p>
        </w:tc>
        <w:tc>
          <w:tcPr>
            <w:tcW w:w="1513" w:type="dxa"/>
            <w:vAlign w:val="center"/>
          </w:tcPr>
          <w:p>
            <w:pPr>
              <w:pStyle w:val="44"/>
              <w:spacing w:line="560" w:lineRule="exact"/>
              <w:jc w:val="left"/>
              <w:rPr>
                <w:rFonts w:ascii="等线" w:hAnsi="等线" w:eastAsia="等线" w:cs="等线"/>
                <w:b w:val="0"/>
                <w:bCs w:val="0"/>
                <w:color w:val="auto"/>
                <w:sz w:val="18"/>
                <w:szCs w:val="18"/>
              </w:rPr>
            </w:pPr>
            <w:r>
              <w:rPr>
                <w:rFonts w:hint="eastAsia" w:ascii="等线" w:hAnsi="等线" w:eastAsia="等线" w:cs="等线"/>
                <w:b w:val="0"/>
                <w:bCs w:val="0"/>
                <w:color w:val="auto"/>
                <w:sz w:val="18"/>
                <w:szCs w:val="18"/>
              </w:rPr>
              <w:t>A型驿站总建筑面积控制在1000㎡以内</w:t>
            </w:r>
          </w:p>
        </w:tc>
        <w:tc>
          <w:tcPr>
            <w:tcW w:w="4009" w:type="dxa"/>
            <w:vMerge w:val="restart"/>
            <w:vAlign w:val="center"/>
          </w:tcPr>
          <w:p>
            <w:pPr>
              <w:pStyle w:val="44"/>
              <w:spacing w:line="560" w:lineRule="exact"/>
              <w:jc w:val="left"/>
              <w:rPr>
                <w:rFonts w:ascii="等线" w:hAnsi="等线" w:eastAsia="等线" w:cs="等线"/>
                <w:b w:val="0"/>
                <w:bCs w:val="0"/>
                <w:color w:val="auto"/>
                <w:sz w:val="18"/>
                <w:szCs w:val="18"/>
              </w:rPr>
            </w:pPr>
            <w:r>
              <w:rPr>
                <w:rFonts w:hint="eastAsia" w:ascii="等线" w:hAnsi="等线" w:eastAsia="等线" w:cs="等线"/>
                <w:b w:val="0"/>
                <w:bCs w:val="0"/>
                <w:color w:val="auto"/>
                <w:sz w:val="18"/>
                <w:szCs w:val="18"/>
              </w:rPr>
              <w:t>位于建筑低层，有独立出入口；或是独立设施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1365" w:type="dxa"/>
            <w:vMerge w:val="continue"/>
            <w:vAlign w:val="center"/>
          </w:tcPr>
          <w:p>
            <w:pPr>
              <w:pStyle w:val="44"/>
              <w:spacing w:line="560" w:lineRule="exact"/>
              <w:rPr>
                <w:rFonts w:eastAsia="黑体"/>
                <w:b w:val="0"/>
                <w:bCs w:val="0"/>
                <w:color w:val="auto"/>
                <w:sz w:val="22"/>
                <w:szCs w:val="22"/>
              </w:rPr>
            </w:pPr>
          </w:p>
        </w:tc>
        <w:tc>
          <w:tcPr>
            <w:tcW w:w="1161" w:type="dxa"/>
            <w:vMerge w:val="continue"/>
            <w:vAlign w:val="center"/>
          </w:tcPr>
          <w:p>
            <w:pPr>
              <w:pStyle w:val="44"/>
              <w:spacing w:line="560" w:lineRule="exact"/>
              <w:jc w:val="left"/>
              <w:rPr>
                <w:rFonts w:ascii="等线" w:hAnsi="等线" w:eastAsia="等线" w:cs="等线"/>
                <w:b w:val="0"/>
                <w:bCs w:val="0"/>
                <w:color w:val="auto"/>
                <w:sz w:val="18"/>
                <w:szCs w:val="18"/>
              </w:rPr>
            </w:pPr>
          </w:p>
        </w:tc>
        <w:tc>
          <w:tcPr>
            <w:tcW w:w="1210" w:type="dxa"/>
            <w:vMerge w:val="continue"/>
            <w:vAlign w:val="center"/>
          </w:tcPr>
          <w:p>
            <w:pPr>
              <w:pStyle w:val="44"/>
              <w:spacing w:line="560" w:lineRule="exact"/>
              <w:jc w:val="left"/>
              <w:rPr>
                <w:rFonts w:ascii="等线" w:hAnsi="等线" w:eastAsia="等线" w:cs="等线"/>
                <w:b w:val="0"/>
                <w:bCs w:val="0"/>
                <w:color w:val="auto"/>
                <w:sz w:val="18"/>
                <w:szCs w:val="18"/>
              </w:rPr>
            </w:pPr>
          </w:p>
        </w:tc>
        <w:tc>
          <w:tcPr>
            <w:tcW w:w="1513" w:type="dxa"/>
            <w:vAlign w:val="center"/>
          </w:tcPr>
          <w:p>
            <w:pPr>
              <w:pStyle w:val="44"/>
              <w:spacing w:line="560" w:lineRule="exact"/>
              <w:jc w:val="left"/>
              <w:rPr>
                <w:rFonts w:ascii="等线" w:hAnsi="等线" w:eastAsia="等线" w:cs="等线"/>
                <w:b w:val="0"/>
                <w:bCs w:val="0"/>
                <w:color w:val="auto"/>
                <w:sz w:val="18"/>
                <w:szCs w:val="18"/>
              </w:rPr>
            </w:pPr>
            <w:r>
              <w:rPr>
                <w:rFonts w:hint="eastAsia" w:ascii="等线" w:hAnsi="等线" w:eastAsia="等线" w:cs="等线"/>
                <w:b w:val="0"/>
                <w:bCs w:val="0"/>
                <w:color w:val="auto"/>
                <w:sz w:val="18"/>
                <w:szCs w:val="18"/>
              </w:rPr>
              <w:t>B型驿站总建筑面积500㎡左右</w:t>
            </w:r>
          </w:p>
        </w:tc>
        <w:tc>
          <w:tcPr>
            <w:tcW w:w="4009" w:type="dxa"/>
            <w:vMerge w:val="continue"/>
            <w:vAlign w:val="center"/>
          </w:tcPr>
          <w:p>
            <w:pPr>
              <w:pStyle w:val="44"/>
              <w:spacing w:line="560" w:lineRule="exact"/>
              <w:rPr>
                <w:rFonts w:ascii="等线" w:hAnsi="等线" w:eastAsia="等线" w:cs="等线"/>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2" w:hRule="atLeast"/>
          <w:jc w:val="center"/>
        </w:trPr>
        <w:tc>
          <w:tcPr>
            <w:tcW w:w="1365" w:type="dxa"/>
            <w:vMerge w:val="continue"/>
            <w:vAlign w:val="center"/>
          </w:tcPr>
          <w:p>
            <w:pPr>
              <w:pStyle w:val="44"/>
              <w:spacing w:line="560" w:lineRule="exact"/>
              <w:rPr>
                <w:rFonts w:eastAsia="黑体"/>
                <w:b w:val="0"/>
                <w:bCs w:val="0"/>
                <w:color w:val="auto"/>
                <w:sz w:val="22"/>
                <w:szCs w:val="22"/>
              </w:rPr>
            </w:pPr>
          </w:p>
        </w:tc>
        <w:tc>
          <w:tcPr>
            <w:tcW w:w="1161" w:type="dxa"/>
            <w:vAlign w:val="center"/>
          </w:tcPr>
          <w:p>
            <w:pPr>
              <w:pStyle w:val="44"/>
              <w:spacing w:line="560" w:lineRule="exact"/>
              <w:jc w:val="left"/>
              <w:rPr>
                <w:rFonts w:ascii="等线" w:hAnsi="等线" w:eastAsia="等线" w:cs="等线"/>
                <w:b w:val="0"/>
                <w:bCs w:val="0"/>
                <w:color w:val="auto"/>
                <w:sz w:val="18"/>
                <w:szCs w:val="18"/>
              </w:rPr>
            </w:pPr>
            <w:r>
              <w:rPr>
                <w:rFonts w:hint="eastAsia" w:ascii="等线" w:hAnsi="等线" w:eastAsia="等线" w:cs="等线"/>
                <w:b w:val="0"/>
                <w:bCs w:val="0"/>
                <w:color w:val="auto"/>
                <w:sz w:val="18"/>
                <w:szCs w:val="18"/>
              </w:rPr>
              <w:t>城镇已建成区（如老旧小区等可利用用地资源较少地区）</w:t>
            </w:r>
          </w:p>
        </w:tc>
        <w:tc>
          <w:tcPr>
            <w:tcW w:w="1210" w:type="dxa"/>
            <w:vMerge w:val="continue"/>
            <w:vAlign w:val="center"/>
          </w:tcPr>
          <w:p>
            <w:pPr>
              <w:pStyle w:val="44"/>
              <w:spacing w:line="560" w:lineRule="exact"/>
              <w:jc w:val="left"/>
              <w:rPr>
                <w:rFonts w:ascii="等线" w:hAnsi="等线" w:eastAsia="等线" w:cs="等线"/>
                <w:b w:val="0"/>
                <w:bCs w:val="0"/>
                <w:color w:val="auto"/>
                <w:sz w:val="18"/>
                <w:szCs w:val="18"/>
              </w:rPr>
            </w:pPr>
          </w:p>
        </w:tc>
        <w:tc>
          <w:tcPr>
            <w:tcW w:w="1513" w:type="dxa"/>
            <w:vAlign w:val="center"/>
          </w:tcPr>
          <w:p>
            <w:pPr>
              <w:pStyle w:val="44"/>
              <w:spacing w:line="560" w:lineRule="exact"/>
              <w:jc w:val="left"/>
              <w:rPr>
                <w:rFonts w:ascii="等线" w:hAnsi="等线" w:eastAsia="等线" w:cs="等线"/>
                <w:b w:val="0"/>
                <w:bCs w:val="0"/>
                <w:color w:val="auto"/>
                <w:sz w:val="18"/>
                <w:szCs w:val="18"/>
              </w:rPr>
            </w:pPr>
            <w:r>
              <w:rPr>
                <w:rFonts w:hint="eastAsia" w:ascii="等线" w:hAnsi="等线" w:eastAsia="等线" w:cs="等线"/>
                <w:b w:val="0"/>
                <w:bCs w:val="0"/>
                <w:color w:val="auto"/>
                <w:sz w:val="18"/>
                <w:szCs w:val="18"/>
              </w:rPr>
              <w:t>C型驿站总建筑面积300㎡左右</w:t>
            </w:r>
          </w:p>
        </w:tc>
        <w:tc>
          <w:tcPr>
            <w:tcW w:w="4009" w:type="dxa"/>
            <w:vMerge w:val="continue"/>
            <w:vAlign w:val="center"/>
          </w:tcPr>
          <w:p>
            <w:pPr>
              <w:pStyle w:val="44"/>
              <w:spacing w:line="560" w:lineRule="exact"/>
              <w:rPr>
                <w:rFonts w:ascii="等线" w:hAnsi="等线" w:eastAsia="等线" w:cs="等线"/>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1365" w:type="dxa"/>
            <w:vMerge w:val="restart"/>
            <w:vAlign w:val="center"/>
          </w:tcPr>
          <w:p>
            <w:pPr>
              <w:pStyle w:val="44"/>
              <w:spacing w:line="560" w:lineRule="exact"/>
              <w:rPr>
                <w:rFonts w:eastAsia="黑体"/>
                <w:b w:val="0"/>
                <w:bCs w:val="0"/>
                <w:color w:val="auto"/>
                <w:sz w:val="22"/>
                <w:szCs w:val="22"/>
              </w:rPr>
            </w:pPr>
            <w:r>
              <w:rPr>
                <w:rFonts w:hint="eastAsia" w:eastAsia="黑体"/>
                <w:b w:val="0"/>
                <w:bCs w:val="0"/>
                <w:color w:val="auto"/>
                <w:sz w:val="22"/>
                <w:szCs w:val="22"/>
              </w:rPr>
              <w:t>农村幸福</w:t>
            </w:r>
          </w:p>
          <w:p>
            <w:pPr>
              <w:pStyle w:val="44"/>
              <w:spacing w:line="560" w:lineRule="exact"/>
              <w:rPr>
                <w:rFonts w:eastAsia="黑体"/>
                <w:b w:val="0"/>
                <w:bCs w:val="0"/>
                <w:color w:val="auto"/>
                <w:sz w:val="22"/>
                <w:szCs w:val="22"/>
              </w:rPr>
            </w:pPr>
            <w:r>
              <w:rPr>
                <w:rFonts w:hint="eastAsia" w:eastAsia="黑体"/>
                <w:b w:val="0"/>
                <w:bCs w:val="0"/>
                <w:color w:val="auto"/>
                <w:sz w:val="22"/>
                <w:szCs w:val="22"/>
              </w:rPr>
              <w:t>晚年驿站</w:t>
            </w:r>
          </w:p>
        </w:tc>
        <w:tc>
          <w:tcPr>
            <w:tcW w:w="1161" w:type="dxa"/>
            <w:vMerge w:val="restart"/>
            <w:vAlign w:val="center"/>
          </w:tcPr>
          <w:p>
            <w:pPr>
              <w:pStyle w:val="44"/>
              <w:spacing w:line="560" w:lineRule="exact"/>
              <w:rPr>
                <w:rFonts w:ascii="等线" w:hAnsi="等线" w:eastAsia="等线" w:cs="等线"/>
                <w:b w:val="0"/>
                <w:bCs w:val="0"/>
                <w:color w:val="auto"/>
                <w:sz w:val="18"/>
                <w:szCs w:val="18"/>
              </w:rPr>
            </w:pPr>
            <w:r>
              <w:rPr>
                <w:rFonts w:hint="eastAsia" w:ascii="等线" w:hAnsi="等线" w:eastAsia="等线" w:cs="等线"/>
                <w:b w:val="0"/>
                <w:bCs w:val="0"/>
                <w:color w:val="auto"/>
                <w:sz w:val="18"/>
                <w:szCs w:val="18"/>
              </w:rPr>
              <w:t>村庄</w:t>
            </w:r>
          </w:p>
        </w:tc>
        <w:tc>
          <w:tcPr>
            <w:tcW w:w="1210" w:type="dxa"/>
            <w:vAlign w:val="center"/>
          </w:tcPr>
          <w:p>
            <w:pPr>
              <w:pStyle w:val="44"/>
              <w:spacing w:line="560" w:lineRule="exact"/>
              <w:jc w:val="both"/>
              <w:rPr>
                <w:rFonts w:ascii="等线" w:hAnsi="等线" w:eastAsia="等线" w:cs="等线"/>
                <w:b w:val="0"/>
                <w:bCs w:val="0"/>
                <w:color w:val="auto"/>
                <w:sz w:val="18"/>
                <w:szCs w:val="18"/>
              </w:rPr>
            </w:pPr>
            <w:r>
              <w:rPr>
                <w:rFonts w:hint="eastAsia" w:ascii="等线" w:hAnsi="等线" w:eastAsia="等线" w:cs="等线"/>
                <w:b w:val="0"/>
                <w:bCs w:val="0"/>
                <w:color w:val="auto"/>
                <w:sz w:val="18"/>
                <w:szCs w:val="18"/>
              </w:rPr>
              <w:t>500户以上</w:t>
            </w:r>
          </w:p>
        </w:tc>
        <w:tc>
          <w:tcPr>
            <w:tcW w:w="1513" w:type="dxa"/>
            <w:vAlign w:val="center"/>
          </w:tcPr>
          <w:p>
            <w:pPr>
              <w:pStyle w:val="44"/>
              <w:spacing w:line="560" w:lineRule="exact"/>
              <w:jc w:val="both"/>
              <w:rPr>
                <w:rFonts w:ascii="等线" w:hAnsi="等线" w:eastAsia="等线" w:cs="等线"/>
                <w:b w:val="0"/>
                <w:bCs w:val="0"/>
                <w:color w:val="auto"/>
                <w:sz w:val="18"/>
                <w:szCs w:val="18"/>
              </w:rPr>
            </w:pPr>
            <w:r>
              <w:rPr>
                <w:rFonts w:hint="eastAsia" w:ascii="等线" w:hAnsi="等线" w:eastAsia="等线" w:cs="等线"/>
                <w:b w:val="0"/>
                <w:bCs w:val="0"/>
                <w:color w:val="auto"/>
                <w:sz w:val="18"/>
                <w:szCs w:val="18"/>
              </w:rPr>
              <w:t>300-1000平方米</w:t>
            </w:r>
          </w:p>
        </w:tc>
        <w:tc>
          <w:tcPr>
            <w:tcW w:w="4009" w:type="dxa"/>
            <w:vAlign w:val="center"/>
          </w:tcPr>
          <w:p>
            <w:pPr>
              <w:pStyle w:val="44"/>
              <w:spacing w:line="560" w:lineRule="exact"/>
              <w:rPr>
                <w:rFonts w:ascii="等线" w:hAnsi="等线" w:eastAsia="等线" w:cs="等线"/>
                <w:b w:val="0"/>
                <w:bCs w:val="0"/>
                <w:color w:val="auto"/>
                <w:sz w:val="18"/>
                <w:szCs w:val="18"/>
              </w:rPr>
            </w:pPr>
            <w:r>
              <w:rPr>
                <w:rFonts w:hint="eastAsia" w:ascii="等线" w:hAnsi="等线" w:eastAsia="等线" w:cs="等线"/>
                <w:b w:val="0"/>
                <w:bCs w:val="0"/>
                <w:color w:val="auto"/>
                <w:sz w:val="18"/>
                <w:szCs w:val="18"/>
              </w:rPr>
              <w:t>对应特大型、大型村庄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1" w:hRule="atLeast"/>
          <w:jc w:val="center"/>
        </w:trPr>
        <w:tc>
          <w:tcPr>
            <w:tcW w:w="1365" w:type="dxa"/>
            <w:vMerge w:val="continue"/>
            <w:vAlign w:val="center"/>
          </w:tcPr>
          <w:p>
            <w:pPr>
              <w:pStyle w:val="44"/>
              <w:spacing w:line="560" w:lineRule="exact"/>
              <w:rPr>
                <w:rFonts w:eastAsia="黑体"/>
                <w:b w:val="0"/>
                <w:bCs w:val="0"/>
                <w:color w:val="auto"/>
                <w:sz w:val="22"/>
                <w:szCs w:val="22"/>
              </w:rPr>
            </w:pPr>
          </w:p>
        </w:tc>
        <w:tc>
          <w:tcPr>
            <w:tcW w:w="1161" w:type="dxa"/>
            <w:vMerge w:val="continue"/>
            <w:vAlign w:val="center"/>
          </w:tcPr>
          <w:p>
            <w:pPr>
              <w:pStyle w:val="44"/>
              <w:spacing w:line="560" w:lineRule="exact"/>
              <w:rPr>
                <w:rFonts w:ascii="等线" w:hAnsi="等线" w:eastAsia="等线" w:cs="等线"/>
                <w:b w:val="0"/>
                <w:bCs w:val="0"/>
                <w:color w:val="auto"/>
                <w:sz w:val="18"/>
                <w:szCs w:val="18"/>
              </w:rPr>
            </w:pPr>
          </w:p>
        </w:tc>
        <w:tc>
          <w:tcPr>
            <w:tcW w:w="1210" w:type="dxa"/>
            <w:vAlign w:val="center"/>
          </w:tcPr>
          <w:p>
            <w:pPr>
              <w:pStyle w:val="44"/>
              <w:spacing w:line="560" w:lineRule="exact"/>
              <w:jc w:val="both"/>
              <w:rPr>
                <w:rFonts w:ascii="等线" w:hAnsi="等线" w:eastAsia="等线" w:cs="等线"/>
                <w:b w:val="0"/>
                <w:bCs w:val="0"/>
                <w:color w:val="auto"/>
                <w:sz w:val="18"/>
                <w:szCs w:val="18"/>
              </w:rPr>
            </w:pPr>
            <w:r>
              <w:rPr>
                <w:rFonts w:hint="eastAsia" w:ascii="等线" w:hAnsi="等线" w:eastAsia="等线" w:cs="等线"/>
                <w:b w:val="0"/>
                <w:bCs w:val="0"/>
                <w:color w:val="auto"/>
                <w:sz w:val="18"/>
                <w:szCs w:val="18"/>
              </w:rPr>
              <w:t>500户以下</w:t>
            </w:r>
          </w:p>
        </w:tc>
        <w:tc>
          <w:tcPr>
            <w:tcW w:w="1513" w:type="dxa"/>
            <w:vAlign w:val="center"/>
          </w:tcPr>
          <w:p>
            <w:pPr>
              <w:pStyle w:val="44"/>
              <w:spacing w:line="560" w:lineRule="exact"/>
              <w:jc w:val="both"/>
              <w:rPr>
                <w:rFonts w:ascii="等线" w:hAnsi="等线" w:eastAsia="等线" w:cs="等线"/>
                <w:b w:val="0"/>
                <w:bCs w:val="0"/>
                <w:color w:val="auto"/>
                <w:sz w:val="18"/>
                <w:szCs w:val="18"/>
              </w:rPr>
            </w:pPr>
            <w:r>
              <w:rPr>
                <w:rFonts w:hint="eastAsia" w:ascii="等线" w:hAnsi="等线" w:eastAsia="等线" w:cs="等线"/>
                <w:b w:val="0"/>
                <w:bCs w:val="0"/>
                <w:color w:val="auto"/>
                <w:sz w:val="18"/>
                <w:szCs w:val="18"/>
              </w:rPr>
              <w:t>按需建设，残疾人和儿童福利设施合并计量</w:t>
            </w:r>
          </w:p>
        </w:tc>
        <w:tc>
          <w:tcPr>
            <w:tcW w:w="4009" w:type="dxa"/>
            <w:vAlign w:val="center"/>
          </w:tcPr>
          <w:p>
            <w:pPr>
              <w:pStyle w:val="44"/>
              <w:spacing w:line="560" w:lineRule="exact"/>
              <w:rPr>
                <w:rFonts w:ascii="等线" w:hAnsi="等线" w:eastAsia="等线" w:cs="等线"/>
                <w:b w:val="0"/>
                <w:bCs w:val="0"/>
                <w:color w:val="auto"/>
                <w:sz w:val="18"/>
                <w:szCs w:val="18"/>
              </w:rPr>
            </w:pPr>
            <w:r>
              <w:rPr>
                <w:rFonts w:hint="eastAsia" w:ascii="等线" w:hAnsi="等线" w:eastAsia="等线" w:cs="等线"/>
                <w:b w:val="0"/>
                <w:bCs w:val="0"/>
                <w:color w:val="auto"/>
                <w:sz w:val="18"/>
                <w:szCs w:val="18"/>
              </w:rPr>
              <w:t>老年活动室用地不宜少于50平方米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1365" w:type="dxa"/>
            <w:vAlign w:val="center"/>
          </w:tcPr>
          <w:p>
            <w:pPr>
              <w:pStyle w:val="44"/>
              <w:spacing w:line="560" w:lineRule="exact"/>
              <w:rPr>
                <w:rFonts w:eastAsia="黑体"/>
                <w:b w:val="0"/>
                <w:bCs w:val="0"/>
                <w:color w:val="auto"/>
                <w:sz w:val="22"/>
                <w:szCs w:val="22"/>
              </w:rPr>
            </w:pPr>
            <w:r>
              <w:rPr>
                <w:rFonts w:hint="eastAsia" w:eastAsia="黑体"/>
                <w:b w:val="0"/>
                <w:bCs w:val="0"/>
                <w:color w:val="auto"/>
                <w:sz w:val="22"/>
                <w:szCs w:val="22"/>
              </w:rPr>
              <w:t>残疾人</w:t>
            </w:r>
          </w:p>
          <w:p>
            <w:pPr>
              <w:pStyle w:val="44"/>
              <w:spacing w:line="560" w:lineRule="exact"/>
              <w:rPr>
                <w:rFonts w:eastAsia="黑体"/>
                <w:b w:val="0"/>
                <w:bCs w:val="0"/>
                <w:color w:val="auto"/>
                <w:sz w:val="22"/>
                <w:szCs w:val="22"/>
              </w:rPr>
            </w:pPr>
            <w:r>
              <w:rPr>
                <w:rFonts w:hint="eastAsia" w:eastAsia="黑体"/>
                <w:b w:val="0"/>
                <w:bCs w:val="0"/>
                <w:color w:val="auto"/>
                <w:sz w:val="22"/>
                <w:szCs w:val="22"/>
              </w:rPr>
              <w:t>托养所</w:t>
            </w:r>
          </w:p>
        </w:tc>
        <w:tc>
          <w:tcPr>
            <w:tcW w:w="1161" w:type="dxa"/>
            <w:vAlign w:val="center"/>
          </w:tcPr>
          <w:p>
            <w:pPr>
              <w:pStyle w:val="44"/>
              <w:spacing w:line="560" w:lineRule="exact"/>
              <w:rPr>
                <w:rFonts w:ascii="等线" w:hAnsi="等线" w:eastAsia="等线" w:cs="等线"/>
                <w:b w:val="0"/>
                <w:bCs w:val="0"/>
                <w:color w:val="auto"/>
                <w:sz w:val="18"/>
                <w:szCs w:val="18"/>
              </w:rPr>
            </w:pPr>
            <w:r>
              <w:rPr>
                <w:rFonts w:hint="eastAsia" w:ascii="等线" w:hAnsi="等线" w:eastAsia="等线" w:cs="等线"/>
                <w:b w:val="0"/>
                <w:bCs w:val="0"/>
                <w:color w:val="auto"/>
                <w:sz w:val="18"/>
                <w:szCs w:val="18"/>
              </w:rPr>
              <w:t>城镇地区</w:t>
            </w:r>
          </w:p>
        </w:tc>
        <w:tc>
          <w:tcPr>
            <w:tcW w:w="1210" w:type="dxa"/>
            <w:vAlign w:val="center"/>
          </w:tcPr>
          <w:p>
            <w:pPr>
              <w:pStyle w:val="44"/>
              <w:spacing w:line="560" w:lineRule="exact"/>
              <w:rPr>
                <w:rFonts w:ascii="等线" w:hAnsi="等线" w:eastAsia="等线" w:cs="等线"/>
                <w:b w:val="0"/>
                <w:bCs w:val="0"/>
                <w:color w:val="auto"/>
                <w:sz w:val="18"/>
                <w:szCs w:val="18"/>
              </w:rPr>
            </w:pPr>
            <w:r>
              <w:rPr>
                <w:rFonts w:hint="eastAsia" w:ascii="等线" w:hAnsi="等线" w:eastAsia="等线" w:cs="等线"/>
                <w:b w:val="0"/>
                <w:bCs w:val="0"/>
                <w:color w:val="auto"/>
                <w:sz w:val="18"/>
                <w:szCs w:val="18"/>
              </w:rPr>
              <w:t>3万人</w:t>
            </w:r>
          </w:p>
        </w:tc>
        <w:tc>
          <w:tcPr>
            <w:tcW w:w="1513" w:type="dxa"/>
            <w:vAlign w:val="center"/>
          </w:tcPr>
          <w:p>
            <w:pPr>
              <w:pStyle w:val="44"/>
              <w:spacing w:line="560" w:lineRule="exact"/>
              <w:rPr>
                <w:rFonts w:hint="eastAsia" w:ascii="等线" w:hAnsi="等线" w:eastAsia="等线" w:cs="等线"/>
                <w:b w:val="0"/>
                <w:bCs w:val="0"/>
                <w:color w:val="auto"/>
                <w:sz w:val="18"/>
                <w:szCs w:val="18"/>
                <w:lang w:val="en-US" w:eastAsia="zh-CN"/>
              </w:rPr>
            </w:pPr>
            <w:r>
              <w:rPr>
                <w:rFonts w:hint="eastAsia" w:ascii="等线" w:hAnsi="等线" w:eastAsia="等线" w:cs="等线"/>
                <w:b w:val="0"/>
                <w:bCs w:val="0"/>
                <w:color w:val="auto"/>
                <w:sz w:val="18"/>
                <w:szCs w:val="18"/>
                <w:lang w:val="en-US" w:eastAsia="zh-CN"/>
              </w:rPr>
              <w:t>1床/千人</w:t>
            </w:r>
          </w:p>
        </w:tc>
        <w:tc>
          <w:tcPr>
            <w:tcW w:w="4009" w:type="dxa"/>
            <w:vAlign w:val="center"/>
          </w:tcPr>
          <w:p>
            <w:pPr>
              <w:pStyle w:val="44"/>
              <w:spacing w:line="560" w:lineRule="exact"/>
              <w:rPr>
                <w:rFonts w:ascii="等线" w:hAnsi="等线" w:eastAsia="等线" w:cs="等线"/>
                <w:b w:val="0"/>
                <w:bCs w:val="0"/>
                <w:color w:val="auto"/>
                <w:sz w:val="18"/>
                <w:szCs w:val="18"/>
              </w:rPr>
            </w:pPr>
            <w:r>
              <w:rPr>
                <w:rFonts w:hint="eastAsia" w:ascii="等线" w:hAnsi="等线" w:eastAsia="等线" w:cs="等线"/>
                <w:b w:val="0"/>
                <w:bCs w:val="0"/>
                <w:color w:val="auto"/>
                <w:sz w:val="18"/>
                <w:szCs w:val="18"/>
              </w:rPr>
              <w:t>如单独建设，床位数不少于100张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1365" w:type="dxa"/>
            <w:vAlign w:val="center"/>
          </w:tcPr>
          <w:p>
            <w:pPr>
              <w:pStyle w:val="44"/>
              <w:spacing w:line="560" w:lineRule="exact"/>
              <w:rPr>
                <w:rFonts w:eastAsia="黑体"/>
                <w:b w:val="0"/>
                <w:bCs w:val="0"/>
                <w:color w:val="auto"/>
                <w:sz w:val="22"/>
                <w:szCs w:val="22"/>
              </w:rPr>
            </w:pPr>
            <w:r>
              <w:rPr>
                <w:rFonts w:hint="eastAsia" w:eastAsia="黑体"/>
                <w:b w:val="0"/>
                <w:bCs w:val="0"/>
                <w:color w:val="auto"/>
                <w:sz w:val="22"/>
                <w:szCs w:val="22"/>
              </w:rPr>
              <w:t>社区助残</w:t>
            </w:r>
          </w:p>
          <w:p>
            <w:pPr>
              <w:pStyle w:val="44"/>
              <w:spacing w:line="560" w:lineRule="exact"/>
              <w:rPr>
                <w:rFonts w:eastAsia="黑体"/>
                <w:b w:val="0"/>
                <w:bCs w:val="0"/>
                <w:color w:val="auto"/>
                <w:sz w:val="22"/>
                <w:szCs w:val="22"/>
              </w:rPr>
            </w:pPr>
            <w:r>
              <w:rPr>
                <w:rFonts w:hint="eastAsia" w:eastAsia="黑体"/>
                <w:b w:val="0"/>
                <w:bCs w:val="0"/>
                <w:color w:val="auto"/>
                <w:sz w:val="22"/>
                <w:szCs w:val="22"/>
              </w:rPr>
              <w:t>服务中心</w:t>
            </w:r>
            <w:r>
              <w:rPr>
                <w:rFonts w:hint="eastAsia" w:eastAsia="黑体"/>
                <w:b w:val="0"/>
                <w:bCs w:val="0"/>
                <w:color w:val="auto"/>
                <w:sz w:val="22"/>
                <w:szCs w:val="22"/>
                <w:lang w:eastAsia="zh-CN"/>
              </w:rPr>
              <w:t>（温馨家园）</w:t>
            </w:r>
          </w:p>
        </w:tc>
        <w:tc>
          <w:tcPr>
            <w:tcW w:w="2371" w:type="dxa"/>
            <w:gridSpan w:val="2"/>
            <w:vAlign w:val="center"/>
          </w:tcPr>
          <w:p>
            <w:pPr>
              <w:pStyle w:val="44"/>
              <w:spacing w:line="560" w:lineRule="exact"/>
              <w:rPr>
                <w:rFonts w:ascii="等线" w:hAnsi="等线" w:eastAsia="等线" w:cs="等线"/>
                <w:b w:val="0"/>
                <w:bCs w:val="0"/>
                <w:color w:val="auto"/>
                <w:sz w:val="18"/>
                <w:szCs w:val="18"/>
              </w:rPr>
            </w:pPr>
            <w:r>
              <w:rPr>
                <w:rFonts w:hint="eastAsia" w:ascii="等线" w:hAnsi="等线" w:eastAsia="等线" w:cs="等线"/>
                <w:b w:val="0"/>
                <w:bCs w:val="0"/>
                <w:color w:val="auto"/>
                <w:sz w:val="18"/>
                <w:szCs w:val="18"/>
              </w:rPr>
              <w:t>每个街道（乡镇）一处</w:t>
            </w:r>
          </w:p>
        </w:tc>
        <w:tc>
          <w:tcPr>
            <w:tcW w:w="1513" w:type="dxa"/>
            <w:vAlign w:val="center"/>
          </w:tcPr>
          <w:p>
            <w:pPr>
              <w:pStyle w:val="44"/>
              <w:spacing w:line="560" w:lineRule="exact"/>
              <w:rPr>
                <w:rFonts w:ascii="等线" w:hAnsi="等线" w:eastAsia="等线" w:cs="等线"/>
                <w:b w:val="0"/>
                <w:bCs w:val="0"/>
                <w:color w:val="auto"/>
                <w:sz w:val="18"/>
                <w:szCs w:val="18"/>
              </w:rPr>
            </w:pPr>
            <w:r>
              <w:rPr>
                <w:rFonts w:hint="eastAsia" w:ascii="等线" w:hAnsi="等线" w:eastAsia="等线" w:cs="等线"/>
                <w:b w:val="0"/>
                <w:bCs w:val="0"/>
                <w:color w:val="auto"/>
                <w:sz w:val="18"/>
                <w:szCs w:val="18"/>
              </w:rPr>
              <w:t>300平方米</w:t>
            </w:r>
          </w:p>
        </w:tc>
        <w:tc>
          <w:tcPr>
            <w:tcW w:w="4009" w:type="dxa"/>
            <w:vAlign w:val="center"/>
          </w:tcPr>
          <w:p>
            <w:pPr>
              <w:pStyle w:val="44"/>
              <w:spacing w:line="560" w:lineRule="exact"/>
              <w:rPr>
                <w:rFonts w:ascii="等线" w:hAnsi="等线" w:eastAsia="等线" w:cs="等线"/>
                <w:b w:val="0"/>
                <w:bCs w:val="0"/>
                <w:color w:val="auto"/>
                <w:sz w:val="18"/>
                <w:szCs w:val="18"/>
              </w:rPr>
            </w:pPr>
            <w:r>
              <w:rPr>
                <w:rFonts w:hint="eastAsia" w:ascii="等线" w:hAnsi="等线" w:eastAsia="等线" w:cs="等线"/>
                <w:b w:val="0"/>
                <w:bCs w:val="0"/>
                <w:color w:val="auto"/>
                <w:sz w:val="18"/>
                <w:szCs w:val="18"/>
              </w:rPr>
              <w:t>位于建筑低层，有独立出入口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1365" w:type="dxa"/>
            <w:vAlign w:val="center"/>
          </w:tcPr>
          <w:p>
            <w:pPr>
              <w:pStyle w:val="44"/>
              <w:spacing w:line="560" w:lineRule="exact"/>
              <w:rPr>
                <w:rFonts w:eastAsia="黑体"/>
                <w:b w:val="0"/>
                <w:bCs w:val="0"/>
                <w:color w:val="auto"/>
                <w:sz w:val="22"/>
                <w:szCs w:val="22"/>
              </w:rPr>
            </w:pPr>
            <w:r>
              <w:rPr>
                <w:rFonts w:hint="eastAsia" w:eastAsia="黑体"/>
                <w:b w:val="0"/>
                <w:bCs w:val="0"/>
                <w:color w:val="auto"/>
                <w:sz w:val="22"/>
                <w:szCs w:val="22"/>
              </w:rPr>
              <w:t>儿童福利院</w:t>
            </w:r>
          </w:p>
        </w:tc>
        <w:tc>
          <w:tcPr>
            <w:tcW w:w="2371" w:type="dxa"/>
            <w:gridSpan w:val="2"/>
            <w:vAlign w:val="center"/>
          </w:tcPr>
          <w:p>
            <w:pPr>
              <w:pStyle w:val="44"/>
              <w:spacing w:line="560" w:lineRule="exact"/>
              <w:rPr>
                <w:rFonts w:ascii="等线" w:hAnsi="等线" w:eastAsia="等线" w:cs="等线"/>
                <w:b w:val="0"/>
                <w:bCs w:val="0"/>
                <w:color w:val="auto"/>
                <w:sz w:val="18"/>
                <w:szCs w:val="18"/>
              </w:rPr>
            </w:pPr>
            <w:r>
              <w:rPr>
                <w:rFonts w:hint="eastAsia" w:ascii="等线" w:hAnsi="等线" w:eastAsia="等线" w:cs="等线"/>
                <w:b w:val="0"/>
                <w:bCs w:val="0"/>
                <w:color w:val="auto"/>
                <w:sz w:val="18"/>
                <w:szCs w:val="18"/>
              </w:rPr>
              <w:t>每个行政区一处</w:t>
            </w:r>
          </w:p>
        </w:tc>
        <w:tc>
          <w:tcPr>
            <w:tcW w:w="1513" w:type="dxa"/>
            <w:vAlign w:val="center"/>
          </w:tcPr>
          <w:p>
            <w:pPr>
              <w:pStyle w:val="44"/>
              <w:spacing w:line="560" w:lineRule="exact"/>
              <w:rPr>
                <w:rFonts w:ascii="等线" w:hAnsi="等线" w:eastAsia="等线" w:cs="等线"/>
                <w:b w:val="0"/>
                <w:bCs w:val="0"/>
                <w:color w:val="auto"/>
                <w:sz w:val="18"/>
                <w:szCs w:val="18"/>
              </w:rPr>
            </w:pPr>
            <w:r>
              <w:rPr>
                <w:rFonts w:hint="eastAsia" w:ascii="等线" w:hAnsi="等线" w:eastAsia="等线" w:cs="等线"/>
                <w:b w:val="0"/>
                <w:bCs w:val="0"/>
                <w:color w:val="auto"/>
                <w:sz w:val="18"/>
                <w:szCs w:val="18"/>
              </w:rPr>
              <w:t>不少于100床</w:t>
            </w:r>
          </w:p>
        </w:tc>
        <w:tc>
          <w:tcPr>
            <w:tcW w:w="4009" w:type="dxa"/>
            <w:vAlign w:val="center"/>
          </w:tcPr>
          <w:p>
            <w:pPr>
              <w:pStyle w:val="44"/>
              <w:spacing w:line="560" w:lineRule="exact"/>
              <w:rPr>
                <w:rFonts w:hint="eastAsia" w:ascii="等线" w:hAnsi="等线" w:eastAsia="等线" w:cs="等线"/>
                <w:b w:val="0"/>
                <w:bCs w:val="0"/>
                <w:color w:val="auto"/>
                <w:sz w:val="18"/>
                <w:szCs w:val="18"/>
                <w:lang w:eastAsia="zh-CN"/>
              </w:rPr>
            </w:pPr>
            <w:r>
              <w:rPr>
                <w:rFonts w:hint="eastAsia" w:ascii="等线" w:hAnsi="等线" w:eastAsia="等线" w:cs="等线"/>
                <w:b w:val="0"/>
                <w:bCs w:val="0"/>
                <w:color w:val="auto"/>
                <w:sz w:val="18"/>
                <w:szCs w:val="18"/>
                <w:lang w:eastAsia="zh-CN"/>
              </w:rPr>
              <w:t>不低于</w:t>
            </w:r>
            <w:r>
              <w:rPr>
                <w:rFonts w:hint="eastAsia" w:ascii="等线" w:hAnsi="等线" w:eastAsia="等线" w:cs="等线"/>
                <w:b w:val="0"/>
                <w:bCs w:val="0"/>
                <w:color w:val="auto"/>
                <w:sz w:val="18"/>
                <w:szCs w:val="18"/>
                <w:lang w:val="en-US" w:eastAsia="zh-CN"/>
              </w:rPr>
              <w:t>35平方米/床</w:t>
            </w:r>
          </w:p>
        </w:tc>
      </w:tr>
    </w:tbl>
    <w:p>
      <w:pPr>
        <w:pStyle w:val="4"/>
        <w:spacing w:before="205" w:after="205" w:line="560" w:lineRule="exact"/>
        <w:rPr>
          <w:color w:val="auto"/>
        </w:rPr>
      </w:pPr>
      <w:r>
        <w:rPr>
          <w:color w:val="auto"/>
        </w:rPr>
        <w:t>第</w:t>
      </w:r>
      <w:r>
        <w:rPr>
          <w:rFonts w:hint="eastAsia"/>
          <w:color w:val="auto"/>
          <w:lang w:val="en-US" w:eastAsia="zh-CN"/>
        </w:rPr>
        <w:t>64</w:t>
      </w:r>
      <w:r>
        <w:rPr>
          <w:color w:val="auto"/>
        </w:rPr>
        <w:t>条</w:t>
      </w:r>
      <w:bookmarkEnd w:id="358"/>
      <w:bookmarkEnd w:id="359"/>
      <w:bookmarkEnd w:id="360"/>
      <w:r>
        <w:rPr>
          <w:rFonts w:hint="eastAsia"/>
          <w:color w:val="auto"/>
        </w:rPr>
        <w:t xml:space="preserve"> 鼓励设施复合利用</w:t>
      </w:r>
    </w:p>
    <w:bookmarkEnd w:id="328"/>
    <w:bookmarkEnd w:id="329"/>
    <w:bookmarkEnd w:id="330"/>
    <w:bookmarkEnd w:id="357"/>
    <w:p>
      <w:pPr>
        <w:spacing w:line="560" w:lineRule="exact"/>
        <w:ind w:firstLine="600"/>
        <w:rPr>
          <w:color w:val="auto"/>
        </w:rPr>
      </w:pPr>
      <w:r>
        <w:rPr>
          <w:color w:val="auto"/>
        </w:rPr>
        <w:t>以养老服务设施为主线，鼓励有条件街道（乡镇）建设复合</w:t>
      </w:r>
      <w:r>
        <w:rPr>
          <w:rFonts w:hint="eastAsia"/>
          <w:color w:val="auto"/>
          <w:lang w:eastAsia="zh-CN"/>
        </w:rPr>
        <w:t>型</w:t>
      </w:r>
      <w:r>
        <w:rPr>
          <w:color w:val="auto"/>
        </w:rPr>
        <w:t>、综合</w:t>
      </w:r>
      <w:r>
        <w:rPr>
          <w:rFonts w:hint="eastAsia"/>
          <w:color w:val="auto"/>
          <w:lang w:eastAsia="zh-CN"/>
        </w:rPr>
        <w:t>型</w:t>
      </w:r>
      <w:r>
        <w:rPr>
          <w:color w:val="auto"/>
        </w:rPr>
        <w:t>服务设施，推动养老、助残设施共建共享、服务融合发展。</w:t>
      </w:r>
    </w:p>
    <w:p>
      <w:pPr>
        <w:spacing w:line="560" w:lineRule="exact"/>
        <w:ind w:firstLine="602"/>
        <w:rPr>
          <w:color w:val="auto"/>
        </w:rPr>
      </w:pPr>
      <w:r>
        <w:rPr>
          <w:b/>
          <w:bCs/>
          <w:color w:val="auto"/>
        </w:rPr>
        <w:t>鼓励养老及相关设施混合设置、兼容设置。</w:t>
      </w:r>
      <w:r>
        <w:rPr>
          <w:rFonts w:hint="eastAsia"/>
          <w:color w:val="auto"/>
        </w:rPr>
        <w:t>充分发挥老年人照料设施建设规划标准的引导作用，</w:t>
      </w:r>
      <w:r>
        <w:rPr>
          <w:color w:val="auto"/>
        </w:rPr>
        <w:t>混合设置、兼容设置时应位于建筑</w:t>
      </w:r>
      <w:r>
        <w:rPr>
          <w:rFonts w:hint="eastAsia"/>
          <w:color w:val="auto"/>
        </w:rPr>
        <w:t>地面，</w:t>
      </w:r>
      <w:r>
        <w:rPr>
          <w:color w:val="auto"/>
        </w:rPr>
        <w:t>与其他场所进行防火分隔</w:t>
      </w:r>
      <w:r>
        <w:rPr>
          <w:rFonts w:hint="eastAsia"/>
          <w:color w:val="auto"/>
        </w:rPr>
        <w:t>，满足消防有关要求，有利于紧急情况下的人员疏散</w:t>
      </w:r>
      <w:r>
        <w:rPr>
          <w:color w:val="auto"/>
        </w:rPr>
        <w:t>。鼓励社区基本公共服务设施，如社区养老服务驿站、社区助残服务中心、社区卫生服务中心、社区室内文体活动中心、社区服务站等相邻设置或混合设置，共享部分设施和服务。</w:t>
      </w:r>
      <w:r>
        <w:rPr>
          <w:rFonts w:hint="eastAsia"/>
          <w:color w:val="auto"/>
        </w:rPr>
        <w:t>针对全市“老残儿”等长期照护对象中患有传染病和精神疾病的特定群体，布局立项建设公益性、托底性的长期照护机构。</w:t>
      </w:r>
    </w:p>
    <w:p>
      <w:pPr>
        <w:spacing w:line="560" w:lineRule="exact"/>
        <w:ind w:firstLine="602"/>
        <w:rPr>
          <w:color w:val="auto"/>
        </w:rPr>
      </w:pPr>
      <w:r>
        <w:rPr>
          <w:rFonts w:hint="eastAsia"/>
          <w:b/>
          <w:bCs/>
          <w:color w:val="auto"/>
        </w:rPr>
        <w:t>提高基层公共文化设施利用。</w:t>
      </w:r>
      <w:r>
        <w:rPr>
          <w:rFonts w:hint="eastAsia"/>
          <w:color w:val="auto"/>
        </w:rPr>
        <w:t>实现各级养老服务设施的互通互联，提高设施的智能化管理水平，发挥设施的整体功能。加强公共文化设施服务标准建设，规范设施开放时间、服务方式、服务内容和服务标准，使之适应老年人的生理、心理特点、作息时间、利用习惯和适用方式。新增公共文化资源，按比例向老年人倾斜。</w:t>
      </w:r>
      <w:bookmarkStart w:id="361" w:name="_Toc532554188"/>
      <w:bookmarkStart w:id="362" w:name="_Toc9250"/>
    </w:p>
    <w:p>
      <w:pPr>
        <w:pStyle w:val="3"/>
        <w:spacing w:before="205" w:after="205" w:line="560" w:lineRule="exact"/>
        <w:rPr>
          <w:color w:val="auto"/>
        </w:rPr>
      </w:pPr>
      <w:bookmarkStart w:id="363" w:name="_Toc1881"/>
      <w:bookmarkStart w:id="364" w:name="_Toc7286"/>
      <w:bookmarkStart w:id="365" w:name="_Toc1921963133"/>
      <w:bookmarkStart w:id="366" w:name="_Toc27605"/>
      <w:bookmarkStart w:id="367" w:name="_Toc28192"/>
      <w:bookmarkStart w:id="368" w:name="_Toc8274"/>
      <w:bookmarkStart w:id="369" w:name="_Toc17426"/>
      <w:r>
        <w:rPr>
          <w:color w:val="auto"/>
        </w:rPr>
        <w:t>第</w:t>
      </w:r>
      <w:r>
        <w:rPr>
          <w:rFonts w:hint="eastAsia"/>
          <w:color w:val="auto"/>
          <w:lang w:eastAsia="zh-CN"/>
        </w:rPr>
        <w:t>四</w:t>
      </w:r>
      <w:r>
        <w:rPr>
          <w:color w:val="auto"/>
        </w:rPr>
        <w:t>节</w:t>
      </w:r>
      <w:r>
        <w:rPr>
          <w:rFonts w:hint="eastAsia"/>
          <w:color w:val="auto"/>
        </w:rPr>
        <w:t xml:space="preserve"> 养老服务设施补短板行动计划</w:t>
      </w:r>
      <w:bookmarkEnd w:id="363"/>
      <w:bookmarkEnd w:id="364"/>
      <w:bookmarkEnd w:id="365"/>
      <w:bookmarkEnd w:id="366"/>
      <w:bookmarkEnd w:id="367"/>
      <w:bookmarkEnd w:id="368"/>
      <w:bookmarkEnd w:id="369"/>
    </w:p>
    <w:bookmarkEnd w:id="361"/>
    <w:bookmarkEnd w:id="362"/>
    <w:p>
      <w:pPr>
        <w:pStyle w:val="4"/>
        <w:spacing w:before="205" w:after="205" w:line="560" w:lineRule="exact"/>
        <w:rPr>
          <w:color w:val="auto"/>
        </w:rPr>
      </w:pPr>
      <w:r>
        <w:rPr>
          <w:rStyle w:val="67"/>
          <w:rFonts w:hint="eastAsia"/>
          <w:b/>
          <w:bCs/>
          <w:color w:val="auto"/>
        </w:rPr>
        <w:t>第</w:t>
      </w:r>
      <w:r>
        <w:rPr>
          <w:rStyle w:val="67"/>
          <w:rFonts w:hint="eastAsia"/>
          <w:b/>
          <w:bCs/>
          <w:color w:val="auto"/>
          <w:lang w:val="en-US" w:eastAsia="zh-CN"/>
        </w:rPr>
        <w:t>65</w:t>
      </w:r>
      <w:r>
        <w:rPr>
          <w:rStyle w:val="67"/>
          <w:rFonts w:hint="eastAsia"/>
          <w:b/>
          <w:bCs/>
          <w:color w:val="auto"/>
        </w:rPr>
        <w:t xml:space="preserve">条 </w:t>
      </w:r>
      <w:r>
        <w:rPr>
          <w:rFonts w:hint="eastAsia"/>
          <w:color w:val="auto"/>
        </w:rPr>
        <w:t>用好养老服务设施存量，注重提质增效</w:t>
      </w:r>
      <w:bookmarkStart w:id="370" w:name="_Hlk22743811"/>
    </w:p>
    <w:p>
      <w:pPr>
        <w:spacing w:line="560" w:lineRule="exact"/>
        <w:ind w:firstLine="602"/>
        <w:rPr>
          <w:b/>
          <w:bCs/>
          <w:color w:val="auto"/>
        </w:rPr>
      </w:pPr>
      <w:r>
        <w:rPr>
          <w:b/>
          <w:bCs/>
          <w:color w:val="auto"/>
        </w:rPr>
        <w:t>推动公办养老机构改革</w:t>
      </w:r>
      <w:r>
        <w:rPr>
          <w:rFonts w:hint="eastAsia"/>
          <w:b/>
          <w:bCs/>
          <w:color w:val="auto"/>
        </w:rPr>
        <w:t>。</w:t>
      </w:r>
      <w:r>
        <w:rPr>
          <w:color w:val="auto"/>
        </w:rPr>
        <w:t>建立</w:t>
      </w:r>
      <w:r>
        <w:rPr>
          <w:rFonts w:hint="eastAsia"/>
          <w:color w:val="auto"/>
        </w:rPr>
        <w:t>健全</w:t>
      </w:r>
      <w:r>
        <w:rPr>
          <w:color w:val="auto"/>
        </w:rPr>
        <w:t>功能明确、运行高效、权责明晰、监管有力的公办养老机构管理服务体系。科学规划养老床位建设，加快推进</w:t>
      </w:r>
      <w:r>
        <w:rPr>
          <w:rFonts w:hint="eastAsia"/>
          <w:color w:val="auto"/>
        </w:rPr>
        <w:t>各区</w:t>
      </w:r>
      <w:r>
        <w:rPr>
          <w:color w:val="auto"/>
        </w:rPr>
        <w:t>基层</w:t>
      </w:r>
      <w:r>
        <w:rPr>
          <w:rFonts w:hint="eastAsia"/>
          <w:color w:val="auto"/>
        </w:rPr>
        <w:t>公办</w:t>
      </w:r>
      <w:r>
        <w:rPr>
          <w:color w:val="auto"/>
        </w:rPr>
        <w:t>养老机构</w:t>
      </w:r>
      <w:r>
        <w:rPr>
          <w:rFonts w:hint="eastAsia"/>
          <w:color w:val="auto"/>
        </w:rPr>
        <w:t>设施</w:t>
      </w:r>
      <w:r>
        <w:rPr>
          <w:color w:val="auto"/>
        </w:rPr>
        <w:t>改造；逐步将公办养老机构</w:t>
      </w:r>
      <w:r>
        <w:rPr>
          <w:rFonts w:hint="eastAsia"/>
          <w:color w:val="auto"/>
        </w:rPr>
        <w:t>中</w:t>
      </w:r>
      <w:r>
        <w:rPr>
          <w:color w:val="auto"/>
        </w:rPr>
        <w:t>护养型床位比例提高到80%以上，提高</w:t>
      </w:r>
      <w:r>
        <w:rPr>
          <w:rFonts w:hint="eastAsia"/>
          <w:color w:val="auto"/>
        </w:rPr>
        <w:t>服务质量和统筹</w:t>
      </w:r>
      <w:r>
        <w:rPr>
          <w:color w:val="auto"/>
        </w:rPr>
        <w:t>功能，提升入住率。</w:t>
      </w:r>
    </w:p>
    <w:p>
      <w:pPr>
        <w:spacing w:line="560" w:lineRule="exact"/>
        <w:ind w:firstLine="602"/>
        <w:rPr>
          <w:rFonts w:ascii="仿宋_GB2312" w:hAnsi="仿宋_GB2312" w:eastAsia="仿宋_GB2312" w:cs="仿宋_GB2312"/>
          <w:color w:val="auto"/>
          <w:sz w:val="32"/>
          <w:szCs w:val="32"/>
        </w:rPr>
      </w:pPr>
      <w:r>
        <w:rPr>
          <w:rFonts w:hint="eastAsia"/>
          <w:b/>
          <w:bCs/>
          <w:color w:val="auto"/>
        </w:rPr>
        <w:t>健全完善全市养老机构应急处置体制机制。</w:t>
      </w:r>
      <w:r>
        <w:rPr>
          <w:rFonts w:hint="eastAsia"/>
          <w:color w:val="auto"/>
        </w:rPr>
        <w:t>总结在新冠肺炎疫情防控工作中的经验教训，全面实现养老设施建设符合传染病防控要求，探索加强养老机构疫情防控缓冲区建设，实现连锁机构院与院、区与区之间空间统筹，各区至少明确1-2家公办养老机构，满足应急情况下老年人集中隔离、医学观察等特殊需求。完善机构建筑设计规范，对存量机构通过整改提升，优化空间布局，设置隔离观察区（或健康观察区）；对新建养老服务机构统筹规划</w:t>
      </w:r>
      <w:r>
        <w:rPr>
          <w:rFonts w:hint="eastAsia"/>
          <w:color w:val="auto"/>
          <w:lang w:eastAsia="zh-CN"/>
        </w:rPr>
        <w:t>，</w:t>
      </w:r>
      <w:r>
        <w:rPr>
          <w:rFonts w:hint="eastAsia"/>
          <w:color w:val="auto"/>
        </w:rPr>
        <w:t>建设规范标准的健康观察区及消毒室，并预留不少于2%的养老床位用于应对养老机构公共突发事件应急处置。建立常态化下养老服务机构疫情防控基本能力财政补偿机制和重大传染病防控物资战略储备库，同步调整机构收费项目，在现行床位费、护理费、餐饮费三项收费基础上增设防疫费，减轻机构防疫负担。</w:t>
      </w:r>
    </w:p>
    <w:p>
      <w:pPr>
        <w:spacing w:line="560" w:lineRule="exact"/>
        <w:ind w:firstLine="602"/>
        <w:rPr>
          <w:color w:val="auto"/>
        </w:rPr>
      </w:pPr>
      <w:r>
        <w:rPr>
          <w:rFonts w:hint="eastAsia"/>
          <w:b/>
          <w:bCs/>
          <w:color w:val="auto"/>
        </w:rPr>
        <w:t>推广集中式居家养老服务社区新型试点。</w:t>
      </w:r>
      <w:r>
        <w:rPr>
          <w:rFonts w:hint="eastAsia"/>
          <w:color w:val="auto"/>
        </w:rPr>
        <w:t>扩大“居室分隔定向租赁、公共服务空间持有经营、限龄人群居住”的居家养老机构服务模式，加强配套服务、医疗、教育、商业、产品用品供给。</w:t>
      </w:r>
    </w:p>
    <w:p>
      <w:pPr>
        <w:pStyle w:val="4"/>
        <w:spacing w:before="205" w:after="205" w:line="560" w:lineRule="exact"/>
        <w:rPr>
          <w:color w:val="auto"/>
        </w:rPr>
      </w:pPr>
      <w:r>
        <w:rPr>
          <w:rFonts w:hint="eastAsia"/>
          <w:color w:val="auto"/>
        </w:rPr>
        <w:t>第</w:t>
      </w:r>
      <w:r>
        <w:rPr>
          <w:rFonts w:hint="eastAsia"/>
          <w:color w:val="auto"/>
          <w:lang w:val="en-US" w:eastAsia="zh-CN"/>
        </w:rPr>
        <w:t>66</w:t>
      </w:r>
      <w:r>
        <w:rPr>
          <w:rFonts w:hint="eastAsia"/>
          <w:color w:val="auto"/>
        </w:rPr>
        <w:t>条 控制养老服务设施变量，稳定服务供给</w:t>
      </w:r>
    </w:p>
    <w:p>
      <w:pPr>
        <w:spacing w:line="560" w:lineRule="exact"/>
        <w:ind w:firstLine="602"/>
        <w:rPr>
          <w:color w:val="auto"/>
        </w:rPr>
      </w:pPr>
      <w:r>
        <w:rPr>
          <w:b/>
          <w:bCs/>
          <w:color w:val="auto"/>
        </w:rPr>
        <w:t>确保存量设施合法合规</w:t>
      </w:r>
      <w:r>
        <w:rPr>
          <w:rFonts w:hint="eastAsia"/>
          <w:b/>
          <w:bCs/>
          <w:color w:val="auto"/>
        </w:rPr>
        <w:t>。</w:t>
      </w:r>
      <w:r>
        <w:rPr>
          <w:rFonts w:hint="eastAsia"/>
          <w:color w:val="auto"/>
        </w:rPr>
        <w:t>坚持养老服务设施“动态调整、只增不减”原则，现状养老服务设施与规划不冲突的，在控制性详细规划和区域规划综合实施方案中予以确认；存在不一致、规划可以调整的，通过规划论证原则上予以保留；存在重大冲突的，应在控制性详细规划和区域规划综合实施方案中优先落实养老设施新点位后再调整。</w:t>
      </w:r>
    </w:p>
    <w:p>
      <w:pPr>
        <w:spacing w:line="560" w:lineRule="exact"/>
        <w:ind w:firstLine="602"/>
        <w:rPr>
          <w:color w:val="auto"/>
        </w:rPr>
      </w:pPr>
      <w:r>
        <w:rPr>
          <w:b/>
          <w:bCs/>
          <w:color w:val="auto"/>
        </w:rPr>
        <w:t>挖潜存量用地用于养老设施</w:t>
      </w:r>
      <w:r>
        <w:rPr>
          <w:rFonts w:hint="eastAsia"/>
          <w:b/>
          <w:bCs/>
          <w:color w:val="auto"/>
        </w:rPr>
        <w:t>。</w:t>
      </w:r>
      <w:r>
        <w:rPr>
          <w:color w:val="auto"/>
        </w:rPr>
        <w:t>落实</w:t>
      </w:r>
      <w:r>
        <w:rPr>
          <w:rFonts w:hint="eastAsia"/>
          <w:color w:val="auto"/>
        </w:rPr>
        <w:t>自然</w:t>
      </w:r>
      <w:r>
        <w:rPr>
          <w:color w:val="auto"/>
        </w:rPr>
        <w:t>资源部《</w:t>
      </w:r>
      <w:r>
        <w:rPr>
          <w:rFonts w:hint="eastAsia"/>
          <w:color w:val="auto"/>
        </w:rPr>
        <w:t>关于加强规划和用地保障支持养老服务发展的指导意见</w:t>
      </w:r>
      <w:r>
        <w:rPr>
          <w:color w:val="auto"/>
        </w:rPr>
        <w:t>》，利用《建设项目规划使用性质正面和负面清单》，增加养老</w:t>
      </w:r>
      <w:r>
        <w:rPr>
          <w:rFonts w:hint="eastAsia"/>
          <w:color w:val="auto"/>
        </w:rPr>
        <w:t>服务</w:t>
      </w:r>
      <w:r>
        <w:rPr>
          <w:color w:val="auto"/>
        </w:rPr>
        <w:t>设施用地总量，</w:t>
      </w:r>
      <w:r>
        <w:rPr>
          <w:rFonts w:hint="eastAsia"/>
          <w:color w:val="auto"/>
        </w:rPr>
        <w:t>根据实际需求，鼓励依据相关程序利用工业、仓储等存量房屋举办养老机构。</w:t>
      </w:r>
      <w:r>
        <w:rPr>
          <w:color w:val="auto"/>
        </w:rPr>
        <w:t>调动农民和企业</w:t>
      </w:r>
      <w:r>
        <w:rPr>
          <w:rFonts w:hint="eastAsia"/>
          <w:color w:val="auto"/>
        </w:rPr>
        <w:t>参与养老服务</w:t>
      </w:r>
      <w:r>
        <w:rPr>
          <w:color w:val="auto"/>
        </w:rPr>
        <w:t>的积极性，利用农村闲置土地、改造农民闲置住房，</w:t>
      </w:r>
      <w:r>
        <w:rPr>
          <w:rFonts w:hint="eastAsia"/>
          <w:color w:val="auto"/>
        </w:rPr>
        <w:t>加大</w:t>
      </w:r>
      <w:r>
        <w:rPr>
          <w:color w:val="auto"/>
        </w:rPr>
        <w:t>养老</w:t>
      </w:r>
      <w:r>
        <w:rPr>
          <w:rFonts w:hint="eastAsia"/>
          <w:color w:val="auto"/>
        </w:rPr>
        <w:t>服务</w:t>
      </w:r>
      <w:r>
        <w:rPr>
          <w:color w:val="auto"/>
        </w:rPr>
        <w:t>设施</w:t>
      </w:r>
      <w:r>
        <w:rPr>
          <w:rFonts w:hint="eastAsia"/>
          <w:color w:val="auto"/>
        </w:rPr>
        <w:t>建设力度</w:t>
      </w:r>
      <w:r>
        <w:rPr>
          <w:color w:val="auto"/>
        </w:rPr>
        <w:t>。</w:t>
      </w:r>
    </w:p>
    <w:p>
      <w:pPr>
        <w:spacing w:line="560" w:lineRule="exact"/>
        <w:ind w:firstLine="602"/>
        <w:rPr>
          <w:b/>
          <w:bCs/>
          <w:color w:val="auto"/>
        </w:rPr>
      </w:pPr>
      <w:r>
        <w:rPr>
          <w:b/>
          <w:bCs/>
          <w:color w:val="auto"/>
        </w:rPr>
        <w:t>发掘社会设施资源用于养老</w:t>
      </w:r>
      <w:r>
        <w:rPr>
          <w:rFonts w:hint="eastAsia"/>
          <w:b/>
          <w:bCs/>
          <w:color w:val="auto"/>
        </w:rPr>
        <w:t>服务</w:t>
      </w:r>
      <w:r>
        <w:rPr>
          <w:b/>
          <w:bCs/>
          <w:color w:val="auto"/>
        </w:rPr>
        <w:t>设施</w:t>
      </w:r>
      <w:r>
        <w:rPr>
          <w:rFonts w:hint="eastAsia"/>
          <w:b/>
          <w:bCs/>
          <w:color w:val="auto"/>
        </w:rPr>
        <w:t>。</w:t>
      </w:r>
      <w:r>
        <w:rPr>
          <w:color w:val="auto"/>
        </w:rPr>
        <w:t>发掘社会闲置资源，鼓励疏解腾退的厂房、校舍、培训</w:t>
      </w:r>
      <w:r>
        <w:rPr>
          <w:rFonts w:hint="eastAsia"/>
          <w:color w:val="auto"/>
          <w:lang w:eastAsia="zh-CN"/>
        </w:rPr>
        <w:t>疗养机构</w:t>
      </w:r>
      <w:r>
        <w:rPr>
          <w:color w:val="auto"/>
        </w:rPr>
        <w:t>等设施，优先用于</w:t>
      </w:r>
      <w:r>
        <w:rPr>
          <w:rFonts w:hint="eastAsia"/>
          <w:color w:val="auto"/>
        </w:rPr>
        <w:t>养老服务设施等城市公共服务设施；提高</w:t>
      </w:r>
      <w:r>
        <w:rPr>
          <w:color w:val="auto"/>
        </w:rPr>
        <w:t>设施综合利用</w:t>
      </w:r>
      <w:r>
        <w:rPr>
          <w:rFonts w:hint="eastAsia"/>
          <w:color w:val="auto"/>
        </w:rPr>
        <w:t>率</w:t>
      </w:r>
      <w:r>
        <w:rPr>
          <w:color w:val="auto"/>
        </w:rPr>
        <w:t>，鼓励将养老设施与其他公共服务基础设施集中设置，分时段、分空间使用，提高服务效率和节约土地资源。</w:t>
      </w:r>
    </w:p>
    <w:p>
      <w:pPr>
        <w:pStyle w:val="4"/>
        <w:spacing w:before="205" w:after="205" w:line="560" w:lineRule="exact"/>
        <w:rPr>
          <w:color w:val="auto"/>
        </w:rPr>
      </w:pPr>
      <w:r>
        <w:rPr>
          <w:rFonts w:hint="eastAsia"/>
          <w:color w:val="auto"/>
        </w:rPr>
        <w:t>第</w:t>
      </w:r>
      <w:r>
        <w:rPr>
          <w:rFonts w:hint="eastAsia"/>
          <w:color w:val="auto"/>
          <w:lang w:val="en-US" w:eastAsia="zh-CN"/>
        </w:rPr>
        <w:t>67</w:t>
      </w:r>
      <w:r>
        <w:rPr>
          <w:rFonts w:hint="eastAsia"/>
          <w:color w:val="auto"/>
        </w:rPr>
        <w:t>条 保障养老服务设施增量，补足总量缺口</w:t>
      </w:r>
    </w:p>
    <w:p>
      <w:pPr>
        <w:spacing w:line="560" w:lineRule="exact"/>
        <w:ind w:firstLine="602"/>
        <w:rPr>
          <w:color w:val="auto"/>
        </w:rPr>
      </w:pPr>
      <w:r>
        <w:rPr>
          <w:b/>
          <w:color w:val="auto"/>
        </w:rPr>
        <w:t>推进</w:t>
      </w:r>
      <w:r>
        <w:rPr>
          <w:rFonts w:hint="eastAsia"/>
          <w:b/>
          <w:color w:val="auto"/>
        </w:rPr>
        <w:t>各区公建机</w:t>
      </w:r>
      <w:r>
        <w:rPr>
          <w:b/>
          <w:color w:val="auto"/>
        </w:rPr>
        <w:t>构养老</w:t>
      </w:r>
      <w:r>
        <w:rPr>
          <w:rFonts w:hint="eastAsia"/>
          <w:b/>
          <w:color w:val="auto"/>
        </w:rPr>
        <w:t>服务</w:t>
      </w:r>
      <w:r>
        <w:rPr>
          <w:b/>
          <w:color w:val="auto"/>
        </w:rPr>
        <w:t>设施建设</w:t>
      </w:r>
      <w:r>
        <w:rPr>
          <w:rFonts w:hint="eastAsia"/>
          <w:b/>
          <w:color w:val="auto"/>
        </w:rPr>
        <w:t>。</w:t>
      </w:r>
      <w:r>
        <w:rPr>
          <w:color w:val="auto"/>
        </w:rPr>
        <w:t>以补足</w:t>
      </w:r>
      <w:r>
        <w:rPr>
          <w:rFonts w:hint="eastAsia"/>
          <w:color w:val="auto"/>
        </w:rPr>
        <w:t>每</w:t>
      </w:r>
      <w:r>
        <w:rPr>
          <w:color w:val="auto"/>
        </w:rPr>
        <w:t>区</w:t>
      </w:r>
      <w:r>
        <w:rPr>
          <w:rFonts w:hint="eastAsia"/>
          <w:color w:val="auto"/>
        </w:rPr>
        <w:t>至少一所</w:t>
      </w:r>
      <w:r>
        <w:rPr>
          <w:color w:val="auto"/>
        </w:rPr>
        <w:t>400张床位</w:t>
      </w:r>
      <w:r>
        <w:rPr>
          <w:rFonts w:hint="eastAsia"/>
          <w:color w:val="auto"/>
        </w:rPr>
        <w:t>的区</w:t>
      </w:r>
      <w:r>
        <w:rPr>
          <w:color w:val="auto"/>
        </w:rPr>
        <w:t>级机构养老</w:t>
      </w:r>
      <w:r>
        <w:rPr>
          <w:rFonts w:hint="eastAsia"/>
          <w:color w:val="auto"/>
        </w:rPr>
        <w:t>服务设施</w:t>
      </w:r>
      <w:r>
        <w:rPr>
          <w:color w:val="auto"/>
        </w:rPr>
        <w:t>缺口为重点，依托建设用地存量资源，加速新建形成一批区级养老</w:t>
      </w:r>
      <w:r>
        <w:rPr>
          <w:rFonts w:hint="eastAsia"/>
          <w:color w:val="auto"/>
        </w:rPr>
        <w:t>服务</w:t>
      </w:r>
      <w:r>
        <w:rPr>
          <w:color w:val="auto"/>
        </w:rPr>
        <w:t>设施，满足老年人就近养老、方便就医、交通便捷、环境宜居等需求，示范带动全市机构养老</w:t>
      </w:r>
      <w:r>
        <w:rPr>
          <w:rFonts w:hint="eastAsia"/>
          <w:color w:val="auto"/>
        </w:rPr>
        <w:t>服务设施</w:t>
      </w:r>
      <w:r>
        <w:rPr>
          <w:color w:val="auto"/>
        </w:rPr>
        <w:t>专业化建设和发展，推进城乡养老</w:t>
      </w:r>
      <w:r>
        <w:rPr>
          <w:rFonts w:hint="eastAsia"/>
          <w:color w:val="auto"/>
        </w:rPr>
        <w:t>服务</w:t>
      </w:r>
      <w:r>
        <w:rPr>
          <w:color w:val="auto"/>
        </w:rPr>
        <w:t>设施广覆盖。严格新建小区养老</w:t>
      </w:r>
      <w:r>
        <w:rPr>
          <w:rFonts w:hint="eastAsia"/>
          <w:color w:val="auto"/>
        </w:rPr>
        <w:t>服务</w:t>
      </w:r>
      <w:r>
        <w:rPr>
          <w:color w:val="auto"/>
        </w:rPr>
        <w:t>设施配建要求，按规定建设的小区</w:t>
      </w:r>
      <w:r>
        <w:rPr>
          <w:rFonts w:hint="eastAsia"/>
          <w:color w:val="auto"/>
        </w:rPr>
        <w:t>配套</w:t>
      </w:r>
      <w:r>
        <w:rPr>
          <w:color w:val="auto"/>
        </w:rPr>
        <w:t>养老</w:t>
      </w:r>
      <w:r>
        <w:rPr>
          <w:rFonts w:hint="eastAsia"/>
          <w:color w:val="auto"/>
        </w:rPr>
        <w:t>服务设</w:t>
      </w:r>
      <w:r>
        <w:rPr>
          <w:color w:val="auto"/>
        </w:rPr>
        <w:t>施移交政府后，由民政部</w:t>
      </w:r>
      <w:r>
        <w:rPr>
          <w:rFonts w:hint="eastAsia"/>
          <w:color w:val="auto"/>
        </w:rPr>
        <w:t>门按规范程序运营，面向</w:t>
      </w:r>
      <w:r>
        <w:rPr>
          <w:color w:val="auto"/>
        </w:rPr>
        <w:t>社区</w:t>
      </w:r>
      <w:r>
        <w:rPr>
          <w:rFonts w:hint="eastAsia"/>
          <w:color w:val="auto"/>
        </w:rPr>
        <w:t>开展</w:t>
      </w:r>
      <w:r>
        <w:rPr>
          <w:color w:val="auto"/>
        </w:rPr>
        <w:t>养老服务。</w:t>
      </w:r>
    </w:p>
    <w:p>
      <w:pPr>
        <w:spacing w:line="560" w:lineRule="exact"/>
        <w:ind w:firstLine="602"/>
        <w:rPr>
          <w:b/>
          <w:bCs/>
          <w:color w:val="auto"/>
        </w:rPr>
      </w:pPr>
      <w:r>
        <w:rPr>
          <w:b/>
          <w:bCs/>
          <w:color w:val="auto"/>
        </w:rPr>
        <w:t>提升农村地区养老服务设施覆盖水平</w:t>
      </w:r>
      <w:r>
        <w:rPr>
          <w:rFonts w:hint="eastAsia"/>
          <w:b/>
          <w:bCs/>
          <w:color w:val="auto"/>
        </w:rPr>
        <w:t>。</w:t>
      </w:r>
      <w:r>
        <w:rPr>
          <w:color w:val="auto"/>
        </w:rPr>
        <w:t>按照“乡镇敬老院（养老照料中心）+村养老服务站+民居服务点”的</w:t>
      </w:r>
      <w:r>
        <w:rPr>
          <w:rFonts w:hint="eastAsia"/>
          <w:color w:val="auto"/>
        </w:rPr>
        <w:t>“以院统站带点”服务</w:t>
      </w:r>
      <w:r>
        <w:rPr>
          <w:color w:val="auto"/>
        </w:rPr>
        <w:t>模式</w:t>
      </w:r>
      <w:r>
        <w:rPr>
          <w:rFonts w:hint="eastAsia"/>
          <w:color w:val="auto"/>
        </w:rPr>
        <w:t>，推进</w:t>
      </w:r>
      <w:r>
        <w:rPr>
          <w:color w:val="auto"/>
        </w:rPr>
        <w:t>规划建设农村养老服务设施体系。</w:t>
      </w:r>
    </w:p>
    <w:p>
      <w:pPr>
        <w:widowControl/>
        <w:spacing w:line="560" w:lineRule="exact"/>
        <w:ind w:left="0" w:leftChars="0" w:firstLine="0" w:firstLineChars="0"/>
        <w:jc w:val="left"/>
        <w:rPr>
          <w:rFonts w:cs="Times New Roman"/>
          <w:color w:val="auto"/>
          <w:szCs w:val="30"/>
        </w:rPr>
      </w:pPr>
      <w:r>
        <w:rPr>
          <w:rFonts w:cs="Times New Roman"/>
          <w:color w:val="auto"/>
          <w:szCs w:val="30"/>
        </w:rPr>
        <w:br w:type="page"/>
      </w:r>
    </w:p>
    <w:bookmarkEnd w:id="370"/>
    <w:p>
      <w:pPr>
        <w:pStyle w:val="2"/>
        <w:spacing w:after="411" w:line="560" w:lineRule="exact"/>
        <w:rPr>
          <w:color w:val="auto"/>
        </w:rPr>
      </w:pPr>
      <w:bookmarkStart w:id="371" w:name="_Toc12502"/>
      <w:bookmarkStart w:id="372" w:name="_Toc23378"/>
      <w:bookmarkStart w:id="373" w:name="_Toc20185"/>
      <w:bookmarkStart w:id="374" w:name="_Toc6982"/>
      <w:bookmarkStart w:id="375" w:name="_Toc21072"/>
      <w:bookmarkStart w:id="376" w:name="_Toc19186"/>
      <w:bookmarkStart w:id="377" w:name="_Toc40085570"/>
      <w:bookmarkStart w:id="378" w:name="_Toc221317838"/>
      <w:r>
        <w:rPr>
          <w:rFonts w:hint="eastAsia"/>
          <w:color w:val="auto"/>
        </w:rPr>
        <w:t>第六章 培育发展养老服务产业</w:t>
      </w:r>
      <w:bookmarkEnd w:id="5"/>
      <w:bookmarkEnd w:id="371"/>
      <w:bookmarkEnd w:id="372"/>
      <w:bookmarkEnd w:id="373"/>
      <w:bookmarkEnd w:id="374"/>
      <w:bookmarkEnd w:id="375"/>
      <w:bookmarkEnd w:id="376"/>
      <w:bookmarkEnd w:id="377"/>
      <w:bookmarkEnd w:id="378"/>
    </w:p>
    <w:p>
      <w:pPr>
        <w:spacing w:line="560" w:lineRule="exact"/>
        <w:ind w:firstLine="600"/>
        <w:rPr>
          <w:color w:val="auto"/>
        </w:rPr>
      </w:pPr>
      <w:bookmarkStart w:id="379" w:name="_Toc23443_WPSOffice_Level2"/>
      <w:bookmarkStart w:id="380" w:name="_Toc19262_WPSOffice_Level2"/>
      <w:bookmarkStart w:id="381" w:name="_Toc27971_WPSOffice_Level2"/>
      <w:bookmarkStart w:id="382" w:name="_Toc27458_WPSOffice_Level2"/>
      <w:r>
        <w:rPr>
          <w:rFonts w:hint="eastAsia"/>
          <w:color w:val="auto"/>
        </w:rPr>
        <w:t>全面开放养老服务市场，优化营商环境，促进养老服务消费，使社会力量逐步成为提供养老服务的主体。充分利用北京现有的科技优势和人才优势，逐步优化产业结构，建设创新引领、协同发展的产业体系，深化互联网、大数据、云计算、人工智能和养老服务产业融合发展。发挥北京不同区域的区位优势，形成特色优势鲜明的养老服务产业格局。</w:t>
      </w:r>
    </w:p>
    <w:p>
      <w:pPr>
        <w:spacing w:line="560" w:lineRule="exact"/>
        <w:ind w:firstLine="600"/>
        <w:rPr>
          <w:rFonts w:cs="仿宋"/>
          <w:color w:val="auto"/>
          <w:szCs w:val="30"/>
        </w:rPr>
      </w:pPr>
      <w:r>
        <w:rPr>
          <w:rFonts w:hint="eastAsia" w:cs="仿宋"/>
          <w:color w:val="auto"/>
          <w:szCs w:val="30"/>
        </w:rPr>
        <w:t>充分发挥市场在养老服务资源配置中的决定性作用，按照全面放开、非禁即入的原则，鼓励品牌连锁企业做大做强，激励社会资本投入养老领域，鼓励慈善做养老，支持各类市场主体增加养老服务和产品供给，降低专业化养老供应商自身</w:t>
      </w:r>
      <w:r>
        <w:rPr>
          <w:rFonts w:cs="仿宋"/>
          <w:color w:val="auto"/>
          <w:szCs w:val="30"/>
        </w:rPr>
        <w:t>税负</w:t>
      </w:r>
      <w:r>
        <w:rPr>
          <w:rFonts w:hint="eastAsia" w:cs="仿宋"/>
          <w:color w:val="auto"/>
          <w:szCs w:val="30"/>
        </w:rPr>
        <w:t>。实施老年产品用品科技兴业战略，编制北京市养老服务产品用品发展指导目录，大力推进养老服务产业市场化进程。</w:t>
      </w:r>
    </w:p>
    <w:p>
      <w:pPr>
        <w:pStyle w:val="3"/>
        <w:spacing w:before="205" w:after="205" w:line="560" w:lineRule="exact"/>
        <w:rPr>
          <w:rFonts w:cs="仿宋"/>
          <w:color w:val="auto"/>
          <w:szCs w:val="30"/>
        </w:rPr>
      </w:pPr>
      <w:bookmarkStart w:id="383" w:name="_Toc2022721639"/>
      <w:r>
        <w:rPr>
          <w:rFonts w:hint="eastAsia"/>
          <w:color w:val="auto"/>
        </w:rPr>
        <w:t>第一节 全面开放养老服务市场</w:t>
      </w:r>
      <w:bookmarkEnd w:id="383"/>
    </w:p>
    <w:p>
      <w:pPr>
        <w:pStyle w:val="4"/>
        <w:spacing w:before="205" w:after="205" w:line="560" w:lineRule="exact"/>
        <w:rPr>
          <w:color w:val="auto"/>
        </w:rPr>
      </w:pPr>
      <w:bookmarkStart w:id="384" w:name="_Toc11240_WPSOffice_Level2"/>
      <w:bookmarkStart w:id="385" w:name="_Toc7104"/>
      <w:bookmarkStart w:id="386" w:name="_Toc25698_WPSOffice_Level2"/>
      <w:r>
        <w:rPr>
          <w:rFonts w:hint="eastAsia"/>
          <w:color w:val="auto"/>
        </w:rPr>
        <w:t>第</w:t>
      </w:r>
      <w:r>
        <w:rPr>
          <w:rFonts w:hint="eastAsia"/>
          <w:color w:val="auto"/>
          <w:lang w:val="en-US" w:eastAsia="zh-CN"/>
        </w:rPr>
        <w:t>68</w:t>
      </w:r>
      <w:r>
        <w:rPr>
          <w:rFonts w:hint="eastAsia"/>
          <w:color w:val="auto"/>
        </w:rPr>
        <w:t>条 健全长期照护服务体系</w:t>
      </w:r>
    </w:p>
    <w:p>
      <w:pPr>
        <w:spacing w:line="560" w:lineRule="exact"/>
        <w:ind w:firstLine="600"/>
        <w:rPr>
          <w:color w:val="auto"/>
        </w:rPr>
      </w:pPr>
      <w:r>
        <w:rPr>
          <w:rFonts w:hint="eastAsia"/>
          <w:color w:val="auto"/>
        </w:rPr>
        <w:t>建立长期照护服务项目、质量评价等行业规范，构建居家、社区、机构相衔接的专业化长期照护服务体系。积极稳妥推进长期护理保险制度试点，鼓励发展商业性长期护理保险产品。加快培育长期照护服务机构，全面落实养老服务补贴津贴政策，加大对经济困难高龄、失能老年人的长期照护费用支持。</w:t>
      </w:r>
    </w:p>
    <w:p>
      <w:pPr>
        <w:pStyle w:val="4"/>
        <w:spacing w:before="205" w:after="205" w:line="560" w:lineRule="exact"/>
        <w:rPr>
          <w:color w:val="auto"/>
        </w:rPr>
      </w:pPr>
      <w:r>
        <w:rPr>
          <w:rFonts w:hint="eastAsia"/>
          <w:color w:val="auto"/>
        </w:rPr>
        <w:t>第</w:t>
      </w:r>
      <w:r>
        <w:rPr>
          <w:rFonts w:hint="eastAsia"/>
          <w:color w:val="auto"/>
          <w:lang w:val="en-US" w:eastAsia="zh-CN"/>
        </w:rPr>
        <w:t>69</w:t>
      </w:r>
      <w:r>
        <w:rPr>
          <w:rFonts w:hint="eastAsia"/>
          <w:color w:val="auto"/>
        </w:rPr>
        <w:t>条 推进居家社区适老化建设</w:t>
      </w:r>
    </w:p>
    <w:p>
      <w:pPr>
        <w:spacing w:line="560" w:lineRule="exact"/>
        <w:ind w:firstLine="600"/>
        <w:rPr>
          <w:color w:val="auto"/>
        </w:rPr>
      </w:pPr>
      <w:r>
        <w:rPr>
          <w:rFonts w:hint="eastAsia"/>
          <w:color w:val="auto"/>
        </w:rPr>
        <w:t>加强老年无障碍环境建设，推进社区老年宜居环境建设，加快推动多层老旧住宅加装电梯工作。制定居家适老化改造消费激励政策，采取阶梯式补贴方式引导社会家庭开展居家适老化改造。</w:t>
      </w:r>
    </w:p>
    <w:p>
      <w:pPr>
        <w:pStyle w:val="4"/>
        <w:spacing w:before="205" w:after="205" w:line="560" w:lineRule="exact"/>
        <w:rPr>
          <w:color w:val="auto"/>
        </w:rPr>
      </w:pPr>
      <w:r>
        <w:rPr>
          <w:rFonts w:hint="eastAsia"/>
          <w:color w:val="auto"/>
        </w:rPr>
        <w:t>第</w:t>
      </w:r>
      <w:r>
        <w:rPr>
          <w:rFonts w:hint="eastAsia"/>
          <w:color w:val="auto"/>
          <w:lang w:val="en-US" w:eastAsia="zh-CN"/>
        </w:rPr>
        <w:t>70</w:t>
      </w:r>
      <w:r>
        <w:rPr>
          <w:rFonts w:hint="eastAsia"/>
          <w:color w:val="auto"/>
        </w:rPr>
        <w:t>条 完善老年人关爱服务体系</w:t>
      </w:r>
    </w:p>
    <w:p>
      <w:pPr>
        <w:spacing w:line="560" w:lineRule="exact"/>
        <w:ind w:firstLine="600"/>
        <w:rPr>
          <w:color w:val="auto"/>
        </w:rPr>
      </w:pPr>
      <w:r>
        <w:rPr>
          <w:rFonts w:hint="eastAsia"/>
          <w:color w:val="auto"/>
        </w:rPr>
        <w:t>全面推行老年人巡视探访，建立“养老服务顾问”制度，探索实行“物业服务</w:t>
      </w:r>
      <w:r>
        <w:rPr>
          <w:color w:val="auto"/>
        </w:rPr>
        <w:t>+</w:t>
      </w:r>
      <w:r>
        <w:rPr>
          <w:rFonts w:hint="eastAsia"/>
          <w:color w:val="auto"/>
        </w:rPr>
        <w:t>养老服务”模式。深化特殊家庭老年人通过代理服务入住养老机构工作，开展老年人监护服务。支持发展老年教育、老年文化，拓展文化养老、健康养老等新型消费领域。</w:t>
      </w:r>
    </w:p>
    <w:bookmarkEnd w:id="384"/>
    <w:bookmarkEnd w:id="385"/>
    <w:bookmarkEnd w:id="386"/>
    <w:p>
      <w:pPr>
        <w:pStyle w:val="3"/>
        <w:spacing w:before="205" w:after="205" w:line="560" w:lineRule="exact"/>
        <w:rPr>
          <w:color w:val="auto"/>
        </w:rPr>
      </w:pPr>
      <w:bookmarkStart w:id="387" w:name="_Toc10656"/>
      <w:bookmarkStart w:id="388" w:name="_Toc3861"/>
      <w:bookmarkStart w:id="389" w:name="_Toc11346"/>
      <w:bookmarkStart w:id="390" w:name="_Toc15658"/>
      <w:bookmarkStart w:id="391" w:name="_Toc26416"/>
      <w:bookmarkStart w:id="392" w:name="_Toc1305578704"/>
      <w:bookmarkStart w:id="393" w:name="_Toc12296"/>
      <w:r>
        <w:rPr>
          <w:rFonts w:hint="eastAsia"/>
          <w:color w:val="auto"/>
        </w:rPr>
        <w:t>第二节 推动智慧养老发展</w:t>
      </w:r>
      <w:bookmarkEnd w:id="387"/>
      <w:bookmarkEnd w:id="388"/>
      <w:bookmarkEnd w:id="389"/>
      <w:bookmarkEnd w:id="390"/>
      <w:bookmarkEnd w:id="391"/>
      <w:bookmarkEnd w:id="392"/>
      <w:bookmarkEnd w:id="393"/>
    </w:p>
    <w:p>
      <w:pPr>
        <w:pStyle w:val="4"/>
        <w:spacing w:before="205" w:after="205" w:line="560" w:lineRule="exact"/>
        <w:rPr>
          <w:color w:val="auto"/>
        </w:rPr>
      </w:pPr>
      <w:bookmarkStart w:id="394" w:name="_Toc8252_WPSOffice_Level2"/>
      <w:bookmarkStart w:id="395" w:name="_Toc4026"/>
      <w:bookmarkStart w:id="396" w:name="_Toc5927_WPSOffice_Level2"/>
      <w:bookmarkStart w:id="397" w:name="_Toc32715_WPSOffice_Level2"/>
      <w:bookmarkStart w:id="398" w:name="_Toc16846687"/>
      <w:r>
        <w:rPr>
          <w:color w:val="auto"/>
        </w:rPr>
        <w:t>第</w:t>
      </w:r>
      <w:r>
        <w:rPr>
          <w:rFonts w:hint="eastAsia"/>
          <w:color w:val="auto"/>
          <w:lang w:val="en-US" w:eastAsia="zh-CN"/>
        </w:rPr>
        <w:t>71</w:t>
      </w:r>
      <w:r>
        <w:rPr>
          <w:color w:val="auto"/>
        </w:rPr>
        <w:t>条</w:t>
      </w:r>
      <w:bookmarkEnd w:id="394"/>
      <w:bookmarkEnd w:id="395"/>
      <w:bookmarkEnd w:id="396"/>
      <w:bookmarkEnd w:id="397"/>
      <w:r>
        <w:rPr>
          <w:rFonts w:hint="eastAsia"/>
          <w:color w:val="auto"/>
        </w:rPr>
        <w:t xml:space="preserve"> 推动科技养老产业发展</w:t>
      </w:r>
      <w:bookmarkEnd w:id="398"/>
    </w:p>
    <w:p>
      <w:pPr>
        <w:spacing w:line="560" w:lineRule="exact"/>
        <w:ind w:firstLine="600"/>
        <w:rPr>
          <w:color w:val="auto"/>
        </w:rPr>
      </w:pPr>
      <w:r>
        <w:rPr>
          <w:rFonts w:hint="eastAsia"/>
          <w:color w:val="auto"/>
        </w:rPr>
        <w:t>注重发展养老产业，发展“养老+科技”，促进养老消费。推进养老服务信息化和智能化发展，积极探索物联化、互联化、智能化的养老服务。加快全市养老服务信息网络建设，推进养老服务业与“互联网+”的融合发展。发挥智慧民政-市社会福利综合管理平台作用，有效连接智能产品终端与老年人及其家庭，提供紧急呼叫、家政预约、健康咨询、物品代购、服务缴费、线上线下等老年需求服务项目，实现机构、社区与居民之间养老信息和资源的互通共享。积极推动智能养老技术的试点和示范，实现对老年人居家养老的数字化、网络化、动态化和智能化服务。</w:t>
      </w:r>
    </w:p>
    <w:p>
      <w:pPr>
        <w:spacing w:line="560" w:lineRule="exact"/>
        <w:ind w:firstLine="602"/>
        <w:rPr>
          <w:color w:val="auto"/>
        </w:rPr>
      </w:pPr>
      <w:r>
        <w:rPr>
          <w:b/>
          <w:bCs/>
          <w:color w:val="auto"/>
        </w:rPr>
        <w:t>创新开发智慧养老健康产品</w:t>
      </w:r>
      <w:r>
        <w:rPr>
          <w:rFonts w:hint="eastAsia"/>
          <w:b/>
          <w:bCs/>
          <w:color w:val="auto"/>
        </w:rPr>
        <w:t>。</w:t>
      </w:r>
      <w:r>
        <w:rPr>
          <w:rFonts w:hint="eastAsia"/>
          <w:color w:val="auto"/>
        </w:rPr>
        <w:t>依据《关于促进“互联网</w:t>
      </w:r>
      <w:r>
        <w:rPr>
          <w:color w:val="auto"/>
        </w:rPr>
        <w:t>+社会服务”发展的意见》（发改高技〔2019〕1903号）《促进“互联网+医疗健康”发展的意见》（国办发〔2018〕26号）等文件，围绕助老助残、家庭生活需求，开发残障辅助、家务、情感陪护、娱乐休闲、安防监控等智能服务型机器人等智慧健康产品。加快外骨骼机器人、仿生假肢、虚拟现实康复训练设备、失智康复照护设备等智能康复辅助器具开发，增强适老辅助性治疗康复能力。</w:t>
      </w:r>
    </w:p>
    <w:p>
      <w:pPr>
        <w:spacing w:line="560" w:lineRule="exact"/>
        <w:ind w:firstLine="602"/>
        <w:rPr>
          <w:color w:val="auto"/>
        </w:rPr>
      </w:pPr>
      <w:r>
        <w:rPr>
          <w:b/>
          <w:bCs/>
          <w:color w:val="auto"/>
        </w:rPr>
        <w:t>推进“互联网+养老”行动</w:t>
      </w:r>
      <w:r>
        <w:rPr>
          <w:rFonts w:hint="eastAsia"/>
          <w:b/>
          <w:bCs/>
          <w:color w:val="auto"/>
        </w:rPr>
        <w:t>。</w:t>
      </w:r>
      <w:r>
        <w:rPr>
          <w:rFonts w:hint="eastAsia"/>
          <w:color w:val="auto"/>
        </w:rPr>
        <w:t>依托智慧养老云服务管理平台，为老年人及家庭提供安全看护、健康管理、生活照料等服务。开展智慧养老院建设，为老年人提供菜单式就近便捷养老服务。探索长期照护场景下科技集成应用。拓展养老助残卡应用范围。加强社区信息化平台建设，通过社区养老服务机构为老年人提供居家养老服务。</w:t>
      </w:r>
    </w:p>
    <w:p>
      <w:pPr>
        <w:pStyle w:val="4"/>
        <w:spacing w:before="205" w:after="205" w:line="560" w:lineRule="exact"/>
        <w:rPr>
          <w:color w:val="auto"/>
        </w:rPr>
      </w:pPr>
      <w:bookmarkStart w:id="399" w:name="_Toc16846689"/>
      <w:r>
        <w:rPr>
          <w:color w:val="auto"/>
        </w:rPr>
        <w:t>第</w:t>
      </w:r>
      <w:r>
        <w:rPr>
          <w:rFonts w:hint="eastAsia"/>
          <w:color w:val="auto"/>
          <w:lang w:val="en-US" w:eastAsia="zh-CN"/>
        </w:rPr>
        <w:t>72</w:t>
      </w:r>
      <w:r>
        <w:rPr>
          <w:color w:val="auto"/>
        </w:rPr>
        <w:t>条</w:t>
      </w:r>
      <w:r>
        <w:rPr>
          <w:rFonts w:hint="eastAsia"/>
          <w:color w:val="auto"/>
        </w:rPr>
        <w:t xml:space="preserve"> 打造养老产业科技创新中心</w:t>
      </w:r>
      <w:bookmarkEnd w:id="399"/>
    </w:p>
    <w:p>
      <w:pPr>
        <w:spacing w:line="560" w:lineRule="exact"/>
        <w:ind w:firstLine="602"/>
        <w:rPr>
          <w:color w:val="auto"/>
        </w:rPr>
      </w:pPr>
      <w:r>
        <w:rPr>
          <w:rFonts w:hint="eastAsia"/>
          <w:b/>
          <w:bCs/>
          <w:color w:val="auto"/>
        </w:rPr>
        <w:t>培育发展老年用品市场。</w:t>
      </w:r>
      <w:r>
        <w:rPr>
          <w:rFonts w:hint="eastAsia"/>
          <w:color w:val="auto"/>
        </w:rPr>
        <w:t>制定智慧健康养老产品及服务推广目录，推进智慧健康养老示范试点建设。加强人工智能、物联网、云计算、大数据等信息技术和智能硬件产品在养老领域深度应用。出台老年人康复辅助器具配置、租赁、回收和融资租赁办法。</w:t>
      </w:r>
    </w:p>
    <w:p>
      <w:pPr>
        <w:spacing w:line="560" w:lineRule="exact"/>
        <w:ind w:firstLine="602"/>
        <w:rPr>
          <w:color w:val="auto"/>
        </w:rPr>
      </w:pPr>
      <w:r>
        <w:rPr>
          <w:rFonts w:hint="eastAsia"/>
          <w:b/>
          <w:bCs/>
          <w:color w:val="auto"/>
        </w:rPr>
        <w:t>培育养老产业创新研发。</w:t>
      </w:r>
      <w:r>
        <w:rPr>
          <w:rFonts w:hint="eastAsia"/>
          <w:color w:val="auto"/>
        </w:rPr>
        <w:t>创建养老产业发展实验区、养老服务产业园区、科技养老服务示范基地和国内养老服务产业核心集聚地，进行老年产品研发和科技孵化，培育一批国内国际知名的品牌和产品。开展系统的营养均衡配餐研究，开发适合老年人群健康需求的营养饮食产品，逐步改善老年人群营养不良状况。</w:t>
      </w:r>
    </w:p>
    <w:p>
      <w:pPr>
        <w:spacing w:line="560" w:lineRule="exact"/>
        <w:ind w:firstLine="602"/>
        <w:rPr>
          <w:color w:val="auto"/>
        </w:rPr>
      </w:pPr>
      <w:r>
        <w:rPr>
          <w:rFonts w:hint="eastAsia"/>
          <w:b/>
          <w:bCs/>
          <w:color w:val="auto"/>
        </w:rPr>
        <w:t>加强康养产品创新。</w:t>
      </w:r>
      <w:r>
        <w:rPr>
          <w:rFonts w:hint="eastAsia"/>
          <w:color w:val="auto"/>
        </w:rPr>
        <w:t>发展老年康复护理、养生保健、健康管理、生态养老、休闲养老等业态，加强中医康复传统技术、方法创新，开发推广促进老年人健康生活的适宜技术和产品，实施心脑血管疾病、糖尿病、恶性肿瘤、呼吸系统疾病等老年慢性病综合防控战略。举办区域性和全国性养老用品交易会、养老慈善项目展览会和养老产品文化博览会，重点发展面向京津冀乃至全国的养老产品用品市场主体，增加养老服务和养老产品用品的有效供给，释放有效需求，促进城乡公平，提振养老服务消费市场。积极推动全市老年人异地养老、旅游养老、健康养生等融合性养老消费活动。</w:t>
      </w:r>
    </w:p>
    <w:p>
      <w:pPr>
        <w:pStyle w:val="3"/>
        <w:spacing w:before="205" w:after="205" w:line="560" w:lineRule="exact"/>
        <w:rPr>
          <w:color w:val="auto"/>
        </w:rPr>
      </w:pPr>
      <w:bookmarkStart w:id="400" w:name="_Toc592"/>
      <w:bookmarkStart w:id="401" w:name="_Toc23999"/>
      <w:bookmarkStart w:id="402" w:name="_Toc23140"/>
      <w:bookmarkStart w:id="403" w:name="_Toc31046"/>
      <w:bookmarkStart w:id="404" w:name="_Toc29969"/>
      <w:bookmarkStart w:id="405" w:name="_Toc24835"/>
      <w:bookmarkStart w:id="406" w:name="_Toc1591500362"/>
      <w:r>
        <w:rPr>
          <w:rFonts w:hint="eastAsia"/>
          <w:color w:val="auto"/>
        </w:rPr>
        <w:t>第三节 推广老年人康养产业</w:t>
      </w:r>
      <w:bookmarkEnd w:id="400"/>
      <w:bookmarkEnd w:id="401"/>
      <w:bookmarkEnd w:id="402"/>
      <w:bookmarkEnd w:id="403"/>
      <w:bookmarkEnd w:id="404"/>
      <w:bookmarkEnd w:id="405"/>
      <w:bookmarkEnd w:id="406"/>
    </w:p>
    <w:p>
      <w:pPr>
        <w:pStyle w:val="4"/>
        <w:spacing w:before="205" w:after="205" w:line="560" w:lineRule="exact"/>
        <w:rPr>
          <w:color w:val="auto"/>
        </w:rPr>
      </w:pPr>
      <w:bookmarkStart w:id="407" w:name="_Toc23758"/>
      <w:bookmarkStart w:id="408" w:name="_Toc15103"/>
      <w:bookmarkStart w:id="409" w:name="_Toc21881_WPSOffice_Level2"/>
      <w:bookmarkStart w:id="410" w:name="_Toc8464_WPSOffice_Level2"/>
      <w:bookmarkStart w:id="411" w:name="_Toc18466_WPSOffice_Level2"/>
      <w:r>
        <w:rPr>
          <w:color w:val="auto"/>
        </w:rPr>
        <w:t>第</w:t>
      </w:r>
      <w:r>
        <w:rPr>
          <w:rFonts w:hint="eastAsia"/>
          <w:color w:val="auto"/>
          <w:lang w:val="en-US" w:eastAsia="zh-CN"/>
        </w:rPr>
        <w:t>73</w:t>
      </w:r>
      <w:r>
        <w:rPr>
          <w:color w:val="auto"/>
        </w:rPr>
        <w:t>条</w:t>
      </w:r>
      <w:r>
        <w:rPr>
          <w:rFonts w:hint="eastAsia"/>
          <w:color w:val="auto"/>
        </w:rPr>
        <w:t xml:space="preserve"> 整合特色资源发展健康养生旅游产业</w:t>
      </w:r>
      <w:bookmarkEnd w:id="407"/>
      <w:bookmarkEnd w:id="408"/>
    </w:p>
    <w:p>
      <w:pPr>
        <w:spacing w:line="560" w:lineRule="exact"/>
        <w:ind w:firstLine="600"/>
        <w:rPr>
          <w:color w:val="auto"/>
        </w:rPr>
      </w:pPr>
      <w:r>
        <w:rPr>
          <w:rFonts w:hint="eastAsia"/>
          <w:color w:val="auto"/>
        </w:rPr>
        <w:t>健康养生旅游旨在满足不同人群延年益寿、强身健体、修身养性、身体医疗、修复保健、生活体验和养生文化体验等需求。生态涵养区得天独厚的自然环境与丰富的生态资源和历史文化交相辉映，进一步将健康养生养老的概念与文化旅游、休闲娱乐等业态进行融合，发展健康养生旅游产业，同时进一步利用气候、森林、温泉、田园、湖河、文化、医药等资源，在门头沟区、平谷区、怀柔区、密云区、延庆区开发森林康养、田园康养、温泉康养、运动员康复基地、中医康养、休闲康养等项目，打造具有鲜明特色的健康养生旅游度假区和首选健康养老基地。</w:t>
      </w:r>
    </w:p>
    <w:p>
      <w:pPr>
        <w:pStyle w:val="4"/>
        <w:spacing w:before="205" w:after="205" w:line="560" w:lineRule="exact"/>
        <w:rPr>
          <w:color w:val="auto"/>
        </w:rPr>
      </w:pPr>
      <w:r>
        <w:rPr>
          <w:rFonts w:hint="eastAsia"/>
          <w:color w:val="auto"/>
        </w:rPr>
        <w:t>第</w:t>
      </w:r>
      <w:r>
        <w:rPr>
          <w:rFonts w:hint="eastAsia"/>
          <w:color w:val="auto"/>
          <w:lang w:val="en-US" w:eastAsia="zh-CN"/>
        </w:rPr>
        <w:t>74</w:t>
      </w:r>
      <w:r>
        <w:rPr>
          <w:rFonts w:hint="eastAsia"/>
          <w:color w:val="auto"/>
        </w:rPr>
        <w:t>条 重点培育医药健康高端产业</w:t>
      </w:r>
    </w:p>
    <w:p>
      <w:pPr>
        <w:spacing w:line="560" w:lineRule="exact"/>
        <w:ind w:firstLine="600"/>
        <w:rPr>
          <w:color w:val="auto"/>
        </w:rPr>
      </w:pPr>
      <w:r>
        <w:rPr>
          <w:rFonts w:hint="eastAsia"/>
          <w:color w:val="auto"/>
        </w:rPr>
        <w:t>依靠生态特点，设立中药种植基地，同时大力开发传统中草药的药用和营养成分，加大其对防病、治病、保健等功效的基础分析和研究；推进传统中药产品的深度开发，鼓励企业引进先进技术，推进药剂饮片规模化加工，加大老年中药新药开发、保健品开发、重要工程技术、复方中药筛选、中药生产技术等领域的开发应用，形成一批具有自主知识产权的医药新产品、保健品和高新技术成果。</w:t>
      </w:r>
    </w:p>
    <w:p>
      <w:pPr>
        <w:pStyle w:val="4"/>
        <w:spacing w:before="205" w:after="205" w:line="560" w:lineRule="exact"/>
        <w:rPr>
          <w:color w:val="auto"/>
        </w:rPr>
      </w:pPr>
      <w:r>
        <w:rPr>
          <w:rFonts w:hint="eastAsia"/>
          <w:color w:val="auto"/>
        </w:rPr>
        <w:t>第</w:t>
      </w:r>
      <w:r>
        <w:rPr>
          <w:rFonts w:hint="eastAsia"/>
          <w:color w:val="auto"/>
          <w:lang w:val="en-US" w:eastAsia="zh-CN"/>
        </w:rPr>
        <w:t>75</w:t>
      </w:r>
      <w:r>
        <w:rPr>
          <w:rFonts w:hint="eastAsia"/>
          <w:color w:val="auto"/>
        </w:rPr>
        <w:t>条 鼓励发展老年医疗康复产业</w:t>
      </w:r>
    </w:p>
    <w:p>
      <w:pPr>
        <w:spacing w:line="560" w:lineRule="exact"/>
        <w:ind w:firstLine="600"/>
        <w:rPr>
          <w:color w:val="auto"/>
        </w:rPr>
      </w:pPr>
      <w:r>
        <w:rPr>
          <w:rFonts w:hint="eastAsia"/>
          <w:color w:val="auto"/>
        </w:rPr>
        <w:t>依托生态涵养区环境资源，发展老年医疗、康复护理、健康体检产业，在养老服务过程中实现临床康复护理与生活照料相结合、临床诊断与疾病治疗康复相结合、养老心理疏导与临终关怀相结合，逐步形成“养老+医疗+康复+护理”一体化的产业发展模式。</w:t>
      </w:r>
    </w:p>
    <w:p>
      <w:pPr>
        <w:keepNext/>
        <w:keepLines/>
        <w:spacing w:before="120" w:after="120" w:line="560" w:lineRule="exact"/>
        <w:ind w:firstLine="0" w:firstLineChars="0"/>
        <w:outlineLvl w:val="2"/>
        <w:rPr>
          <w:rFonts w:ascii="Times New Roman" w:hAnsi="Times New Roman"/>
          <w:b/>
          <w:bCs/>
          <w:color w:val="auto"/>
          <w:sz w:val="32"/>
          <w:szCs w:val="32"/>
        </w:rPr>
      </w:pPr>
      <w:r>
        <w:rPr>
          <w:rFonts w:hint="eastAsia" w:ascii="Times New Roman" w:hAnsi="Times New Roman"/>
          <w:b/>
          <w:bCs/>
          <w:color w:val="auto"/>
          <w:sz w:val="32"/>
          <w:szCs w:val="32"/>
        </w:rPr>
        <w:t>第</w:t>
      </w:r>
      <w:r>
        <w:rPr>
          <w:rFonts w:hint="eastAsia" w:ascii="仿宋" w:hAnsi="仿宋" w:eastAsia="仿宋" w:cs="黑体"/>
          <w:b/>
          <w:bCs/>
          <w:color w:val="auto"/>
          <w:kern w:val="2"/>
          <w:sz w:val="32"/>
          <w:szCs w:val="32"/>
          <w:lang w:val="en-US" w:eastAsia="zh-CN" w:bidi="ar-SA"/>
        </w:rPr>
        <w:t>7</w:t>
      </w:r>
      <w:r>
        <w:rPr>
          <w:rFonts w:hint="eastAsia" w:cs="黑体"/>
          <w:b/>
          <w:bCs/>
          <w:color w:val="auto"/>
          <w:kern w:val="2"/>
          <w:sz w:val="32"/>
          <w:szCs w:val="32"/>
          <w:lang w:val="en-US" w:eastAsia="zh-CN" w:bidi="ar-SA"/>
        </w:rPr>
        <w:t>6</w:t>
      </w:r>
      <w:r>
        <w:rPr>
          <w:rFonts w:hint="eastAsia" w:ascii="Times New Roman" w:hAnsi="Times New Roman"/>
          <w:b/>
          <w:bCs/>
          <w:color w:val="auto"/>
          <w:sz w:val="32"/>
          <w:szCs w:val="32"/>
        </w:rPr>
        <w:t xml:space="preserve">条 </w:t>
      </w:r>
      <w:r>
        <w:rPr>
          <w:rFonts w:ascii="Times New Roman" w:hAnsi="Times New Roman"/>
          <w:b/>
          <w:bCs/>
          <w:color w:val="auto"/>
          <w:sz w:val="32"/>
          <w:szCs w:val="32"/>
        </w:rPr>
        <w:t>打造康复辅助器具产业集聚区</w:t>
      </w:r>
    </w:p>
    <w:p>
      <w:pPr>
        <w:spacing w:line="560" w:lineRule="exact"/>
        <w:ind w:firstLine="600"/>
        <w:rPr>
          <w:rFonts w:cs="仿宋"/>
          <w:color w:val="auto"/>
          <w:szCs w:val="30"/>
        </w:rPr>
      </w:pPr>
      <w:r>
        <w:rPr>
          <w:rFonts w:hint="eastAsia" w:cs="仿宋"/>
          <w:color w:val="auto"/>
          <w:szCs w:val="30"/>
        </w:rPr>
        <w:t>根据京津冀协同发展战略，以研发制造和模式创新为核心，加快发展康复辅助器具产业。重点打造以康复辅具、健康保健等技术研发为核心的养老科技技术创新中心。依托养老产业化发展，打造面向国内和国际的交流平台，力促“国家级”养老服务产业示范基地落地京津冀，形成以京津冀为核心的全国养老康复辅具、健康保健产业聚集地，培育一批国内领先并具有国际竞争优势的知名品牌和产品。</w:t>
      </w:r>
    </w:p>
    <w:p>
      <w:pPr>
        <w:spacing w:line="560" w:lineRule="exact"/>
        <w:ind w:firstLine="0" w:firstLineChars="0"/>
        <w:rPr>
          <w:color w:val="auto"/>
        </w:rPr>
      </w:pPr>
    </w:p>
    <w:p>
      <w:pPr>
        <w:pStyle w:val="3"/>
        <w:spacing w:before="205" w:after="205" w:line="560" w:lineRule="exact"/>
        <w:rPr>
          <w:color w:val="auto"/>
        </w:rPr>
      </w:pPr>
      <w:bookmarkStart w:id="412" w:name="_Toc28707"/>
      <w:bookmarkStart w:id="413" w:name="_Toc24068"/>
      <w:bookmarkStart w:id="414" w:name="_Toc22706"/>
      <w:bookmarkStart w:id="415" w:name="_Toc13035"/>
      <w:bookmarkStart w:id="416" w:name="_Toc25664"/>
      <w:bookmarkStart w:id="417" w:name="_Toc719735444"/>
      <w:bookmarkStart w:id="418" w:name="_Toc31159"/>
      <w:r>
        <w:rPr>
          <w:rFonts w:hint="eastAsia"/>
          <w:color w:val="auto"/>
        </w:rPr>
        <w:t xml:space="preserve">第四节 </w:t>
      </w:r>
      <w:r>
        <w:rPr>
          <w:color w:val="auto"/>
        </w:rPr>
        <w:t>培育养老消费市场促进养老产品升级</w:t>
      </w:r>
      <w:bookmarkEnd w:id="412"/>
      <w:bookmarkEnd w:id="413"/>
      <w:bookmarkEnd w:id="414"/>
      <w:bookmarkEnd w:id="415"/>
      <w:bookmarkEnd w:id="416"/>
      <w:bookmarkEnd w:id="417"/>
      <w:bookmarkEnd w:id="418"/>
    </w:p>
    <w:p>
      <w:pPr>
        <w:keepNext/>
        <w:keepLines/>
        <w:spacing w:before="156" w:after="156" w:line="560" w:lineRule="exact"/>
        <w:ind w:firstLine="0" w:firstLineChars="0"/>
        <w:outlineLvl w:val="2"/>
        <w:rPr>
          <w:rFonts w:ascii="Times New Roman" w:hAnsi="Times New Roman"/>
          <w:b/>
          <w:bCs/>
          <w:color w:val="auto"/>
          <w:sz w:val="32"/>
          <w:szCs w:val="32"/>
        </w:rPr>
      </w:pPr>
      <w:bookmarkStart w:id="419" w:name="_Toc15279"/>
      <w:bookmarkStart w:id="420" w:name="_Toc22820583"/>
      <w:bookmarkStart w:id="421" w:name="_Toc25224170"/>
      <w:bookmarkStart w:id="422" w:name="_Toc9892_WPSOffice_Level3"/>
      <w:r>
        <w:rPr>
          <w:rFonts w:ascii="Times New Roman" w:hAnsi="Times New Roman"/>
          <w:b/>
          <w:bCs/>
          <w:color w:val="auto"/>
          <w:sz w:val="32"/>
          <w:szCs w:val="32"/>
        </w:rPr>
        <w:t>第</w:t>
      </w:r>
      <w:r>
        <w:rPr>
          <w:rFonts w:hint="eastAsia" w:ascii="仿宋" w:hAnsi="仿宋" w:eastAsia="仿宋" w:cs="黑体"/>
          <w:b/>
          <w:bCs/>
          <w:color w:val="auto"/>
          <w:kern w:val="2"/>
          <w:sz w:val="32"/>
          <w:szCs w:val="32"/>
          <w:lang w:val="en-US" w:eastAsia="zh-CN" w:bidi="ar-SA"/>
        </w:rPr>
        <w:t>7</w:t>
      </w:r>
      <w:r>
        <w:rPr>
          <w:rFonts w:hint="eastAsia" w:cs="黑体"/>
          <w:b/>
          <w:bCs/>
          <w:color w:val="auto"/>
          <w:kern w:val="2"/>
          <w:sz w:val="32"/>
          <w:szCs w:val="32"/>
          <w:lang w:val="en-US" w:eastAsia="zh-CN" w:bidi="ar-SA"/>
        </w:rPr>
        <w:t>7</w:t>
      </w:r>
      <w:r>
        <w:rPr>
          <w:rFonts w:ascii="Times New Roman" w:hAnsi="Times New Roman"/>
          <w:b/>
          <w:bCs/>
          <w:color w:val="auto"/>
          <w:sz w:val="32"/>
          <w:szCs w:val="32"/>
        </w:rPr>
        <w:t>条</w:t>
      </w:r>
      <w:r>
        <w:rPr>
          <w:rFonts w:hint="eastAsia" w:ascii="Times New Roman" w:hAnsi="Times New Roman"/>
          <w:b/>
          <w:bCs/>
          <w:color w:val="auto"/>
          <w:sz w:val="32"/>
          <w:szCs w:val="32"/>
        </w:rPr>
        <w:t xml:space="preserve"> </w:t>
      </w:r>
      <w:r>
        <w:rPr>
          <w:rFonts w:ascii="Times New Roman" w:hAnsi="Times New Roman"/>
          <w:b/>
          <w:bCs/>
          <w:color w:val="auto"/>
          <w:sz w:val="32"/>
          <w:szCs w:val="32"/>
        </w:rPr>
        <w:t>培育养老服务消费市场</w:t>
      </w:r>
      <w:bookmarkEnd w:id="419"/>
      <w:bookmarkEnd w:id="420"/>
      <w:bookmarkEnd w:id="421"/>
      <w:bookmarkEnd w:id="422"/>
    </w:p>
    <w:p>
      <w:pPr>
        <w:spacing w:line="560" w:lineRule="exact"/>
        <w:ind w:firstLine="600"/>
        <w:rPr>
          <w:rFonts w:cs="仿宋"/>
          <w:color w:val="auto"/>
          <w:szCs w:val="30"/>
        </w:rPr>
      </w:pPr>
      <w:r>
        <w:rPr>
          <w:rFonts w:hint="eastAsia" w:cs="仿宋"/>
          <w:color w:val="auto"/>
          <w:szCs w:val="30"/>
        </w:rPr>
        <w:t>通过政府政策支持、股权合作等方式，支持各类市场主体有效供给，释放需求，提振养老服务市场。出台老年人康复辅助器具配置、租赁、回收和融资办法，推动老年康复辅具租赁业务发展，推进在养老机构、社区设立康复辅助器具配置服务（租赁）站点。在全市范围内合理布局专业性的养老产品店或开设养老用品专柜。探索将医疗康复项目和治疗性康复辅助器具纳入基本医疗保险支付范围。积极推动老年人异地养老、旅游养老、健康养生等融合养老消费活动。加大联合执法力度，组织开展对老年人保健产品消费领域侵权行为的专项整治行动，营造安全、便利、诚信的老年消费环境。</w:t>
      </w:r>
    </w:p>
    <w:p>
      <w:pPr>
        <w:keepNext/>
        <w:keepLines/>
        <w:spacing w:before="156" w:after="156" w:line="560" w:lineRule="exact"/>
        <w:ind w:firstLine="0" w:firstLineChars="0"/>
        <w:outlineLvl w:val="2"/>
        <w:rPr>
          <w:rFonts w:ascii="Times New Roman" w:hAnsi="Times New Roman"/>
          <w:b/>
          <w:bCs/>
          <w:color w:val="auto"/>
          <w:sz w:val="32"/>
          <w:szCs w:val="32"/>
        </w:rPr>
      </w:pPr>
      <w:bookmarkStart w:id="423" w:name="_Toc31262_WPSOffice_Level3"/>
      <w:bookmarkStart w:id="424" w:name="_Toc22820584"/>
      <w:bookmarkStart w:id="425" w:name="_Toc25141"/>
      <w:bookmarkStart w:id="426" w:name="_Toc25224171"/>
      <w:r>
        <w:rPr>
          <w:rFonts w:ascii="Times New Roman" w:hAnsi="Times New Roman"/>
          <w:b/>
          <w:bCs/>
          <w:color w:val="auto"/>
          <w:sz w:val="32"/>
          <w:szCs w:val="32"/>
        </w:rPr>
        <w:t>第</w:t>
      </w:r>
      <w:r>
        <w:rPr>
          <w:rFonts w:hint="eastAsia" w:ascii="仿宋" w:hAnsi="仿宋" w:eastAsia="仿宋" w:cs="黑体"/>
          <w:b/>
          <w:bCs/>
          <w:color w:val="auto"/>
          <w:kern w:val="2"/>
          <w:sz w:val="32"/>
          <w:szCs w:val="32"/>
          <w:lang w:val="en-US" w:eastAsia="zh-CN" w:bidi="ar-SA"/>
        </w:rPr>
        <w:t>7</w:t>
      </w:r>
      <w:r>
        <w:rPr>
          <w:rFonts w:hint="eastAsia" w:cs="黑体"/>
          <w:b/>
          <w:bCs/>
          <w:color w:val="auto"/>
          <w:kern w:val="2"/>
          <w:sz w:val="32"/>
          <w:szCs w:val="32"/>
          <w:lang w:val="en-US" w:eastAsia="zh-CN" w:bidi="ar-SA"/>
        </w:rPr>
        <w:t>8</w:t>
      </w:r>
      <w:r>
        <w:rPr>
          <w:rFonts w:ascii="Times New Roman" w:hAnsi="Times New Roman"/>
          <w:b/>
          <w:bCs/>
          <w:color w:val="auto"/>
          <w:sz w:val="32"/>
          <w:szCs w:val="32"/>
        </w:rPr>
        <w:t>条</w:t>
      </w:r>
      <w:r>
        <w:rPr>
          <w:rFonts w:hint="eastAsia" w:ascii="Times New Roman" w:hAnsi="Times New Roman"/>
          <w:b/>
          <w:bCs/>
          <w:color w:val="auto"/>
          <w:sz w:val="32"/>
          <w:szCs w:val="32"/>
        </w:rPr>
        <w:t xml:space="preserve"> </w:t>
      </w:r>
      <w:r>
        <w:rPr>
          <w:rFonts w:ascii="Times New Roman" w:hAnsi="Times New Roman"/>
          <w:b/>
          <w:bCs/>
          <w:color w:val="auto"/>
          <w:sz w:val="32"/>
          <w:szCs w:val="32"/>
        </w:rPr>
        <w:t>促进老年</w:t>
      </w:r>
      <w:r>
        <w:rPr>
          <w:rFonts w:hint="eastAsia" w:ascii="Times New Roman" w:hAnsi="Times New Roman"/>
          <w:b/>
          <w:bCs/>
          <w:color w:val="auto"/>
          <w:sz w:val="32"/>
          <w:szCs w:val="32"/>
        </w:rPr>
        <w:t>用品及相关</w:t>
      </w:r>
      <w:r>
        <w:rPr>
          <w:rFonts w:ascii="Times New Roman" w:hAnsi="Times New Roman"/>
          <w:b/>
          <w:bCs/>
          <w:color w:val="auto"/>
          <w:sz w:val="32"/>
          <w:szCs w:val="32"/>
        </w:rPr>
        <w:t>产品升级</w:t>
      </w:r>
      <w:bookmarkEnd w:id="423"/>
      <w:bookmarkEnd w:id="424"/>
      <w:bookmarkEnd w:id="425"/>
      <w:bookmarkEnd w:id="426"/>
    </w:p>
    <w:p>
      <w:pPr>
        <w:spacing w:line="560" w:lineRule="exact"/>
        <w:ind w:firstLine="600"/>
        <w:rPr>
          <w:rFonts w:cs="仿宋"/>
          <w:color w:val="auto"/>
          <w:szCs w:val="30"/>
        </w:rPr>
      </w:pPr>
      <w:r>
        <w:rPr>
          <w:rFonts w:hint="eastAsia" w:cs="仿宋"/>
          <w:color w:val="auto"/>
          <w:szCs w:val="30"/>
        </w:rPr>
        <w:t>推动“产、学、研、用、销”紧密结合的创新链与产业链的融合，打造老年产品和用品研究成果转化推广平台、应用生产基地和供销物流基地，提升产业的核心竞争力。营造公平的社会环境和市场环境，鼓励养老服务领域开展大众创业、万众创新，完善老年用品产业政策，优化配置资源，通过税收优惠政策、低息贷款等方式引导和鼓励老年用品企业打造民族企业和民族品牌。发挥市场配置资源、提供服务、引导消费的作用，逐步改变和培养老年人的消费观念。</w:t>
      </w:r>
    </w:p>
    <w:p>
      <w:pPr>
        <w:keepNext/>
        <w:keepLines/>
        <w:spacing w:before="156" w:after="156" w:line="560" w:lineRule="exact"/>
        <w:ind w:firstLine="0" w:firstLineChars="0"/>
        <w:outlineLvl w:val="2"/>
        <w:rPr>
          <w:rFonts w:ascii="Times New Roman" w:hAnsi="Times New Roman"/>
          <w:b/>
          <w:bCs/>
          <w:color w:val="auto"/>
          <w:sz w:val="32"/>
          <w:szCs w:val="32"/>
        </w:rPr>
      </w:pPr>
      <w:bookmarkStart w:id="427" w:name="_Toc22820586"/>
      <w:bookmarkStart w:id="428" w:name="_Toc12273_WPSOffice_Level3"/>
      <w:bookmarkStart w:id="429" w:name="_Toc25224173"/>
      <w:bookmarkStart w:id="430" w:name="_Toc5035"/>
      <w:r>
        <w:rPr>
          <w:rFonts w:ascii="Times New Roman" w:hAnsi="Times New Roman"/>
          <w:b/>
          <w:bCs/>
          <w:color w:val="auto"/>
          <w:sz w:val="32"/>
          <w:szCs w:val="32"/>
        </w:rPr>
        <w:t>第</w:t>
      </w:r>
      <w:r>
        <w:rPr>
          <w:rFonts w:hint="eastAsia" w:ascii="仿宋" w:hAnsi="仿宋" w:eastAsia="仿宋" w:cs="黑体"/>
          <w:b/>
          <w:bCs/>
          <w:color w:val="auto"/>
          <w:kern w:val="2"/>
          <w:sz w:val="32"/>
          <w:szCs w:val="32"/>
          <w:lang w:val="en-US" w:eastAsia="zh-CN" w:bidi="ar-SA"/>
        </w:rPr>
        <w:t>7</w:t>
      </w:r>
      <w:r>
        <w:rPr>
          <w:rFonts w:hint="eastAsia" w:cs="黑体"/>
          <w:b/>
          <w:bCs/>
          <w:color w:val="auto"/>
          <w:kern w:val="2"/>
          <w:sz w:val="32"/>
          <w:szCs w:val="32"/>
          <w:lang w:val="en-US" w:eastAsia="zh-CN" w:bidi="ar-SA"/>
        </w:rPr>
        <w:t>9</w:t>
      </w:r>
      <w:r>
        <w:rPr>
          <w:rFonts w:ascii="Times New Roman" w:hAnsi="Times New Roman"/>
          <w:b/>
          <w:bCs/>
          <w:color w:val="auto"/>
          <w:sz w:val="32"/>
          <w:szCs w:val="32"/>
        </w:rPr>
        <w:t>条</w:t>
      </w:r>
      <w:r>
        <w:rPr>
          <w:rFonts w:hint="eastAsia" w:ascii="Times New Roman" w:hAnsi="Times New Roman"/>
          <w:b/>
          <w:bCs/>
          <w:color w:val="auto"/>
          <w:sz w:val="32"/>
          <w:szCs w:val="32"/>
        </w:rPr>
        <w:t xml:space="preserve"> 发展养</w:t>
      </w:r>
      <w:r>
        <w:rPr>
          <w:rFonts w:ascii="Times New Roman" w:hAnsi="Times New Roman"/>
          <w:b/>
          <w:bCs/>
          <w:color w:val="auto"/>
          <w:sz w:val="32"/>
          <w:szCs w:val="32"/>
        </w:rPr>
        <w:t>老金融服务</w:t>
      </w:r>
      <w:bookmarkEnd w:id="427"/>
      <w:bookmarkEnd w:id="428"/>
      <w:bookmarkEnd w:id="429"/>
      <w:bookmarkEnd w:id="430"/>
    </w:p>
    <w:p>
      <w:pPr>
        <w:spacing w:line="560" w:lineRule="exact"/>
        <w:ind w:firstLine="600"/>
        <w:rPr>
          <w:rFonts w:hint="eastAsia" w:cs="仿宋"/>
          <w:color w:val="auto"/>
          <w:szCs w:val="30"/>
        </w:rPr>
      </w:pPr>
      <w:r>
        <w:rPr>
          <w:rFonts w:hint="eastAsia" w:cs="仿宋"/>
          <w:color w:val="auto"/>
          <w:szCs w:val="30"/>
        </w:rPr>
        <w:t>规范和引导商业银行、保险公司等金融机构开发适合老年人的理财、保险产品，满足老年人金融服务需求，鼓励金融机构建设老年人无障碍设施，开辟服务绿色通道。强化老年人金融安全意识，加大金融消费权益保护力度。稳步推进养老金融试点，按照国家有关规定，积极参与养老金融管理相关业务，做好相关受托管理、投资管理和账户管理等服务工作。</w:t>
      </w:r>
      <w:bookmarkEnd w:id="6"/>
      <w:bookmarkEnd w:id="7"/>
      <w:bookmarkEnd w:id="8"/>
      <w:bookmarkEnd w:id="379"/>
      <w:bookmarkEnd w:id="380"/>
      <w:bookmarkEnd w:id="381"/>
      <w:bookmarkEnd w:id="382"/>
      <w:bookmarkEnd w:id="409"/>
      <w:bookmarkEnd w:id="410"/>
      <w:bookmarkEnd w:id="411"/>
      <w:bookmarkStart w:id="431" w:name="_Toc19719_WPSOffice_Level1"/>
      <w:bookmarkStart w:id="432" w:name="_Toc24172_WPSOffice_Level1"/>
      <w:bookmarkStart w:id="433" w:name="_Toc29116_WPSOffice_Level1"/>
    </w:p>
    <w:p>
      <w:pPr>
        <w:spacing w:line="560" w:lineRule="exact"/>
        <w:ind w:firstLine="600"/>
        <w:rPr>
          <w:rFonts w:hint="eastAsia" w:cs="仿宋"/>
          <w:color w:val="auto"/>
          <w:szCs w:val="30"/>
        </w:rPr>
      </w:pPr>
    </w:p>
    <w:p>
      <w:pPr>
        <w:spacing w:line="560" w:lineRule="exact"/>
        <w:ind w:firstLine="600"/>
        <w:rPr>
          <w:rFonts w:hint="eastAsia" w:cs="仿宋"/>
          <w:color w:val="auto"/>
          <w:szCs w:val="30"/>
        </w:rPr>
      </w:pPr>
    </w:p>
    <w:p>
      <w:pPr>
        <w:spacing w:line="560" w:lineRule="exact"/>
        <w:ind w:firstLine="600"/>
        <w:rPr>
          <w:rFonts w:hint="eastAsia" w:cs="仿宋"/>
          <w:color w:val="auto"/>
          <w:szCs w:val="30"/>
        </w:rPr>
      </w:pPr>
    </w:p>
    <w:p>
      <w:pPr>
        <w:spacing w:line="560" w:lineRule="exact"/>
        <w:ind w:firstLine="600"/>
        <w:rPr>
          <w:rFonts w:hint="eastAsia" w:cs="仿宋"/>
          <w:color w:val="auto"/>
          <w:szCs w:val="30"/>
        </w:rPr>
      </w:pPr>
    </w:p>
    <w:p>
      <w:pPr>
        <w:spacing w:line="560" w:lineRule="exact"/>
        <w:ind w:firstLine="600"/>
        <w:rPr>
          <w:rFonts w:hint="eastAsia" w:cs="仿宋"/>
          <w:color w:val="auto"/>
          <w:szCs w:val="30"/>
        </w:rPr>
      </w:pPr>
    </w:p>
    <w:p>
      <w:pPr>
        <w:spacing w:line="560" w:lineRule="exact"/>
        <w:ind w:firstLine="600"/>
        <w:rPr>
          <w:rFonts w:hint="eastAsia" w:cs="仿宋"/>
          <w:color w:val="auto"/>
          <w:szCs w:val="30"/>
        </w:rPr>
      </w:pPr>
    </w:p>
    <w:p>
      <w:pPr>
        <w:spacing w:line="560" w:lineRule="exact"/>
        <w:ind w:firstLine="600"/>
        <w:rPr>
          <w:rFonts w:hint="eastAsia" w:cs="仿宋"/>
          <w:color w:val="auto"/>
          <w:szCs w:val="30"/>
        </w:rPr>
      </w:pPr>
    </w:p>
    <w:p>
      <w:pPr>
        <w:spacing w:line="560" w:lineRule="exact"/>
        <w:ind w:firstLine="600"/>
        <w:rPr>
          <w:rFonts w:hint="eastAsia" w:cs="仿宋"/>
          <w:color w:val="auto"/>
          <w:szCs w:val="30"/>
        </w:rPr>
      </w:pPr>
    </w:p>
    <w:p>
      <w:pPr>
        <w:spacing w:line="560" w:lineRule="exact"/>
        <w:ind w:firstLine="600"/>
        <w:rPr>
          <w:rFonts w:hint="eastAsia" w:cs="仿宋"/>
          <w:color w:val="auto"/>
          <w:szCs w:val="30"/>
        </w:rPr>
      </w:pPr>
    </w:p>
    <w:p>
      <w:pPr>
        <w:spacing w:line="560" w:lineRule="exact"/>
        <w:ind w:firstLine="600"/>
        <w:rPr>
          <w:rFonts w:hint="eastAsia" w:cs="仿宋"/>
          <w:color w:val="auto"/>
          <w:szCs w:val="30"/>
        </w:rPr>
      </w:pPr>
    </w:p>
    <w:p>
      <w:pPr>
        <w:spacing w:line="560" w:lineRule="exact"/>
        <w:ind w:firstLine="600"/>
        <w:rPr>
          <w:rFonts w:hint="eastAsia" w:cs="仿宋"/>
          <w:color w:val="auto"/>
          <w:szCs w:val="30"/>
        </w:rPr>
      </w:pPr>
    </w:p>
    <w:p>
      <w:pPr>
        <w:spacing w:line="560" w:lineRule="exact"/>
        <w:ind w:firstLine="600"/>
        <w:rPr>
          <w:rFonts w:hint="eastAsia" w:cs="仿宋"/>
          <w:color w:val="auto"/>
          <w:szCs w:val="30"/>
        </w:rPr>
      </w:pPr>
    </w:p>
    <w:p>
      <w:pPr>
        <w:spacing w:line="560" w:lineRule="exact"/>
        <w:ind w:firstLine="600"/>
        <w:rPr>
          <w:rFonts w:hint="eastAsia" w:cs="仿宋"/>
          <w:color w:val="auto"/>
          <w:szCs w:val="30"/>
        </w:rPr>
      </w:pPr>
    </w:p>
    <w:p>
      <w:pPr>
        <w:spacing w:line="560" w:lineRule="exact"/>
        <w:ind w:firstLine="600"/>
        <w:rPr>
          <w:rFonts w:hint="eastAsia" w:cs="仿宋"/>
          <w:color w:val="auto"/>
          <w:szCs w:val="30"/>
        </w:rPr>
      </w:pPr>
    </w:p>
    <w:p>
      <w:pPr>
        <w:pStyle w:val="2"/>
        <w:spacing w:after="411" w:line="560" w:lineRule="exact"/>
        <w:rPr>
          <w:color w:val="auto"/>
        </w:rPr>
      </w:pPr>
      <w:bookmarkStart w:id="434" w:name="_Toc16846696"/>
      <w:bookmarkStart w:id="435" w:name="_Toc694"/>
      <w:bookmarkStart w:id="436" w:name="_Toc40085578"/>
      <w:bookmarkStart w:id="437" w:name="_Toc8454"/>
      <w:bookmarkStart w:id="438" w:name="_Toc9645"/>
      <w:bookmarkStart w:id="439" w:name="_Toc31425"/>
      <w:bookmarkStart w:id="440" w:name="_Toc2546"/>
      <w:bookmarkStart w:id="441" w:name="_Toc19296"/>
      <w:bookmarkStart w:id="442" w:name="_Toc1726137078"/>
      <w:r>
        <w:rPr>
          <w:color w:val="auto"/>
        </w:rPr>
        <w:t>第</w:t>
      </w:r>
      <w:r>
        <w:rPr>
          <w:rFonts w:hint="eastAsia"/>
          <w:color w:val="auto"/>
        </w:rPr>
        <w:t>七</w:t>
      </w:r>
      <w:r>
        <w:rPr>
          <w:color w:val="auto"/>
        </w:rPr>
        <w:t>章</w:t>
      </w:r>
      <w:bookmarkEnd w:id="434"/>
      <w:r>
        <w:rPr>
          <w:rFonts w:hint="eastAsia"/>
          <w:color w:val="auto"/>
        </w:rPr>
        <w:t xml:space="preserve"> 规划实施</w:t>
      </w:r>
      <w:bookmarkEnd w:id="435"/>
      <w:bookmarkEnd w:id="436"/>
      <w:bookmarkEnd w:id="437"/>
      <w:bookmarkEnd w:id="438"/>
      <w:bookmarkEnd w:id="439"/>
      <w:bookmarkEnd w:id="440"/>
      <w:bookmarkEnd w:id="441"/>
      <w:bookmarkEnd w:id="442"/>
    </w:p>
    <w:p>
      <w:pPr>
        <w:pStyle w:val="3"/>
        <w:spacing w:before="205" w:after="205" w:line="560" w:lineRule="exact"/>
        <w:rPr>
          <w:color w:val="auto"/>
        </w:rPr>
      </w:pPr>
      <w:bookmarkStart w:id="443" w:name="_Toc15002"/>
      <w:bookmarkStart w:id="444" w:name="_Toc12223"/>
      <w:bookmarkStart w:id="445" w:name="_Toc1286083623"/>
      <w:bookmarkStart w:id="446" w:name="_Toc7498"/>
      <w:bookmarkStart w:id="447" w:name="_Toc7270"/>
      <w:bookmarkStart w:id="448" w:name="_Toc3156"/>
      <w:bookmarkStart w:id="449" w:name="_Toc25258"/>
      <w:bookmarkStart w:id="450" w:name="_Toc16846697"/>
      <w:r>
        <w:rPr>
          <w:rFonts w:hint="eastAsia"/>
          <w:color w:val="auto"/>
        </w:rPr>
        <w:t>第一节 加强综合保障</w:t>
      </w:r>
      <w:bookmarkEnd w:id="443"/>
      <w:bookmarkEnd w:id="444"/>
      <w:bookmarkEnd w:id="445"/>
      <w:bookmarkEnd w:id="446"/>
      <w:bookmarkEnd w:id="447"/>
      <w:bookmarkEnd w:id="448"/>
      <w:bookmarkEnd w:id="449"/>
    </w:p>
    <w:bookmarkEnd w:id="450"/>
    <w:p>
      <w:pPr>
        <w:pStyle w:val="4"/>
        <w:spacing w:before="205" w:after="205" w:line="560" w:lineRule="exact"/>
        <w:rPr>
          <w:color w:val="auto"/>
        </w:rPr>
      </w:pPr>
      <w:bookmarkStart w:id="451" w:name="_Hlk14794438"/>
      <w:bookmarkStart w:id="452" w:name="_Toc16846698"/>
      <w:r>
        <w:rPr>
          <w:rFonts w:hint="eastAsia"/>
          <w:color w:val="auto"/>
        </w:rPr>
        <w:t>第</w:t>
      </w:r>
      <w:r>
        <w:rPr>
          <w:rFonts w:hint="eastAsia"/>
          <w:color w:val="auto"/>
          <w:lang w:val="en-US" w:eastAsia="zh-CN"/>
        </w:rPr>
        <w:t>80</w:t>
      </w:r>
      <w:r>
        <w:rPr>
          <w:color w:val="auto"/>
        </w:rPr>
        <w:t>条</w:t>
      </w:r>
      <w:r>
        <w:rPr>
          <w:rFonts w:hint="eastAsia"/>
          <w:color w:val="auto"/>
        </w:rPr>
        <w:t xml:space="preserve"> 保障空间供给途径</w:t>
      </w:r>
      <w:bookmarkEnd w:id="451"/>
      <w:bookmarkEnd w:id="452"/>
      <w:bookmarkStart w:id="453" w:name="_Toc29929_WPSOffice_Level3"/>
      <w:bookmarkStart w:id="454" w:name="_Toc30816_WPSOffice_Level3"/>
      <w:bookmarkStart w:id="455" w:name="_Toc13402_WPSOffice_Level3"/>
      <w:bookmarkStart w:id="456" w:name="_Toc17154_WPSOffice_Level3"/>
      <w:bookmarkStart w:id="457" w:name="_Toc8371_WPSOffice_Level3"/>
      <w:bookmarkStart w:id="458" w:name="_Toc21296_WPSOffice_Level3"/>
      <w:bookmarkStart w:id="459" w:name="_Toc18983_WPSOffice_Level3"/>
      <w:bookmarkStart w:id="460" w:name="_Toc9741_WPSOffice_Level3"/>
      <w:bookmarkStart w:id="461" w:name="_Toc11839843"/>
      <w:bookmarkStart w:id="462" w:name="_Toc8169_WPSOffice_Level3"/>
      <w:bookmarkStart w:id="463" w:name="_Toc17458_WPSOffice_Level3"/>
      <w:bookmarkStart w:id="464" w:name="_Toc16985_WPSOffice_Level3"/>
      <w:bookmarkStart w:id="465" w:name="_Toc7979_WPSOffice_Level3"/>
      <w:bookmarkStart w:id="466" w:name="_Toc11838532"/>
      <w:bookmarkStart w:id="467" w:name="_Toc32348_WPSOffice_Level3"/>
    </w:p>
    <w:p>
      <w:pPr>
        <w:spacing w:line="560" w:lineRule="exact"/>
        <w:ind w:firstLine="602"/>
        <w:rPr>
          <w:color w:val="auto"/>
        </w:rPr>
      </w:pPr>
      <w:r>
        <w:rPr>
          <w:rFonts w:hint="eastAsia"/>
          <w:b/>
          <w:bCs/>
          <w:color w:val="auto"/>
        </w:rPr>
        <w:t>保障基本养老服务土地供给。</w:t>
      </w:r>
      <w:r>
        <w:rPr>
          <w:rFonts w:hint="eastAsia"/>
          <w:color w:val="auto"/>
        </w:rPr>
        <w:t>编制养老服务中长期发展规划，设置专门养老用地类别。对基本养老服务设施和提供就近养老服务的设施用地，且经民政部门认定属于公益性的，采取行政划拨土地方式，建设永久性就近养老服务设施。</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pPr>
        <w:spacing w:line="560" w:lineRule="exact"/>
        <w:ind w:firstLine="602"/>
        <w:rPr>
          <w:rStyle w:val="73"/>
          <w:rFonts w:ascii="仿宋" w:hAnsi="仿宋" w:cs="黑体"/>
          <w:color w:val="auto"/>
        </w:rPr>
      </w:pPr>
      <w:r>
        <w:rPr>
          <w:rStyle w:val="73"/>
          <w:rFonts w:ascii="仿宋" w:hAnsi="仿宋" w:cs="黑体"/>
          <w:b/>
          <w:bCs/>
          <w:color w:val="auto"/>
          <w:szCs w:val="28"/>
        </w:rPr>
        <w:t>扩大基本养老服务设施供给</w:t>
      </w:r>
      <w:r>
        <w:rPr>
          <w:rStyle w:val="73"/>
          <w:rFonts w:hint="eastAsia" w:ascii="仿宋" w:hAnsi="仿宋" w:cs="黑体"/>
          <w:b/>
          <w:bCs/>
          <w:color w:val="auto"/>
          <w:szCs w:val="28"/>
        </w:rPr>
        <w:t>。</w:t>
      </w:r>
      <w:bookmarkEnd w:id="467"/>
      <w:bookmarkStart w:id="468" w:name="_Toc25423_WPSOffice_Level3"/>
      <w:bookmarkStart w:id="469" w:name="_Toc11839844"/>
      <w:bookmarkStart w:id="470" w:name="_Toc20952_WPSOffice_Level3"/>
      <w:bookmarkStart w:id="471" w:name="_Toc31261_WPSOffice_Level3"/>
      <w:bookmarkStart w:id="472" w:name="_Toc25297_WPSOffice_Level3"/>
      <w:bookmarkStart w:id="473" w:name="_Toc29547_WPSOffice_Level3"/>
      <w:bookmarkStart w:id="474" w:name="_Toc3368_WPSOffice_Level3"/>
      <w:bookmarkStart w:id="475" w:name="_Toc7126_WPSOffice_Level3"/>
      <w:bookmarkStart w:id="476" w:name="_Toc20995_WPSOffice_Level3"/>
      <w:bookmarkStart w:id="477" w:name="_Toc1946_WPSOffice_Level3"/>
      <w:bookmarkStart w:id="478" w:name="_Toc11838533"/>
      <w:bookmarkStart w:id="479" w:name="_Toc16075_WPSOffice_Level3"/>
      <w:bookmarkStart w:id="480" w:name="_Toc22711_WPSOffice_Level3"/>
      <w:bookmarkStart w:id="481" w:name="_Toc8945_WPSOffice_Level3"/>
      <w:r>
        <w:rPr>
          <w:rStyle w:val="73"/>
          <w:rFonts w:ascii="仿宋" w:hAnsi="仿宋" w:cs="黑体"/>
          <w:color w:val="auto"/>
        </w:rPr>
        <w:t>完善养老机构分类支持保障政策，对于为经济困难失能老年人提供基本养老服务的机构，给予相应补贴和支持</w:t>
      </w:r>
      <w:r>
        <w:rPr>
          <w:rStyle w:val="73"/>
          <w:rFonts w:hint="eastAsia" w:ascii="仿宋" w:hAnsi="仿宋" w:cs="黑体"/>
          <w:color w:val="auto"/>
        </w:rPr>
        <w:t>。</w:t>
      </w:r>
    </w:p>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Pr>
        <w:spacing w:line="560" w:lineRule="exact"/>
        <w:ind w:firstLine="602"/>
        <w:rPr>
          <w:b/>
          <w:bCs/>
          <w:color w:val="auto"/>
        </w:rPr>
      </w:pPr>
      <w:r>
        <w:rPr>
          <w:rStyle w:val="73"/>
          <w:rFonts w:hint="eastAsia" w:ascii="仿宋" w:hAnsi="仿宋" w:cs="黑体"/>
          <w:b/>
          <w:bCs/>
          <w:color w:val="auto"/>
          <w:szCs w:val="28"/>
        </w:rPr>
        <w:t>统筹补充设施增量。</w:t>
      </w:r>
      <w:r>
        <w:rPr>
          <w:rFonts w:hint="eastAsia"/>
          <w:color w:val="auto"/>
        </w:rPr>
        <w:t>严格</w:t>
      </w:r>
      <w:r>
        <w:rPr>
          <w:color w:val="auto"/>
        </w:rPr>
        <w:t>落实《建设项目规划使用性质正面和负面清单》，</w:t>
      </w:r>
      <w:r>
        <w:rPr>
          <w:rFonts w:hint="eastAsia"/>
          <w:color w:val="auto"/>
        </w:rPr>
        <w:t>依据</w:t>
      </w:r>
      <w:r>
        <w:rPr>
          <w:color w:val="auto"/>
        </w:rPr>
        <w:t>城市功能分区空间布局，细化养老服务设施分街道（乡镇）指引，逐个街道（乡镇）落实好新增养老服务设施和实施方案。</w:t>
      </w:r>
    </w:p>
    <w:p>
      <w:pPr>
        <w:pStyle w:val="4"/>
        <w:spacing w:before="205" w:after="205" w:line="560" w:lineRule="exact"/>
        <w:rPr>
          <w:color w:val="auto"/>
        </w:rPr>
      </w:pPr>
      <w:bookmarkStart w:id="482" w:name="_Toc16846699"/>
      <w:r>
        <w:rPr>
          <w:rFonts w:hint="eastAsia"/>
          <w:color w:val="auto"/>
        </w:rPr>
        <w:t>第</w:t>
      </w:r>
      <w:r>
        <w:rPr>
          <w:rFonts w:hint="eastAsia"/>
          <w:color w:val="auto"/>
          <w:lang w:val="en-US" w:eastAsia="zh-CN"/>
        </w:rPr>
        <w:t>81</w:t>
      </w:r>
      <w:r>
        <w:rPr>
          <w:color w:val="auto"/>
        </w:rPr>
        <w:t>条</w:t>
      </w:r>
      <w:r>
        <w:rPr>
          <w:rFonts w:hint="eastAsia"/>
          <w:color w:val="auto"/>
        </w:rPr>
        <w:t xml:space="preserve"> 完善权益保障机制</w:t>
      </w:r>
      <w:bookmarkEnd w:id="482"/>
    </w:p>
    <w:p>
      <w:pPr>
        <w:spacing w:line="560" w:lineRule="exact"/>
        <w:ind w:firstLine="602"/>
        <w:rPr>
          <w:color w:val="auto"/>
        </w:rPr>
      </w:pPr>
      <w:r>
        <w:rPr>
          <w:rFonts w:hint="eastAsia"/>
          <w:b/>
          <w:bCs/>
          <w:color w:val="auto"/>
        </w:rPr>
        <w:t>切实保障</w:t>
      </w:r>
      <w:r>
        <w:rPr>
          <w:b/>
          <w:bCs/>
          <w:color w:val="auto"/>
        </w:rPr>
        <w:t>老年人权益</w:t>
      </w:r>
      <w:r>
        <w:rPr>
          <w:rFonts w:hint="eastAsia"/>
          <w:b/>
          <w:bCs/>
          <w:color w:val="auto"/>
        </w:rPr>
        <w:t>。</w:t>
      </w:r>
      <w:r>
        <w:rPr>
          <w:color w:val="auto"/>
        </w:rPr>
        <w:t>加速</w:t>
      </w:r>
      <w:r>
        <w:rPr>
          <w:rFonts w:hint="eastAsia"/>
          <w:color w:val="auto"/>
        </w:rPr>
        <w:t>建设</w:t>
      </w:r>
      <w:r>
        <w:rPr>
          <w:color w:val="auto"/>
        </w:rPr>
        <w:t>和完善全市老年人固定维权服务场所，完善市级老年人法律援助机构、</w:t>
      </w:r>
      <w:r>
        <w:rPr>
          <w:rFonts w:hint="eastAsia"/>
          <w:color w:val="auto"/>
        </w:rPr>
        <w:t>区域性</w:t>
      </w:r>
      <w:r>
        <w:rPr>
          <w:color w:val="auto"/>
        </w:rPr>
        <w:t>（老</w:t>
      </w:r>
      <w:r>
        <w:rPr>
          <w:rFonts w:hint="eastAsia"/>
          <w:color w:val="auto"/>
        </w:rPr>
        <w:t>年</w:t>
      </w:r>
      <w:r>
        <w:rPr>
          <w:color w:val="auto"/>
        </w:rPr>
        <w:t>人口密集地区）老年人法律援助站、居委会和街道（乡镇）法律援助窗口以及各类养老服务组织中老年维权联系点</w:t>
      </w:r>
      <w:r>
        <w:rPr>
          <w:rFonts w:hint="eastAsia"/>
          <w:color w:val="auto"/>
        </w:rPr>
        <w:t>，构建</w:t>
      </w:r>
      <w:r>
        <w:rPr>
          <w:color w:val="auto"/>
        </w:rPr>
        <w:t>“四级一体”的老年人法律援助网络</w:t>
      </w:r>
      <w:r>
        <w:rPr>
          <w:rFonts w:hint="eastAsia"/>
          <w:color w:val="auto"/>
        </w:rPr>
        <w:t>。</w:t>
      </w:r>
      <w:r>
        <w:rPr>
          <w:color w:val="auto"/>
        </w:rPr>
        <w:t>全面开通老年人权益保护热线</w:t>
      </w:r>
      <w:r>
        <w:rPr>
          <w:rFonts w:hint="eastAsia"/>
          <w:color w:val="auto"/>
        </w:rPr>
        <w:t>，</w:t>
      </w:r>
      <w:r>
        <w:rPr>
          <w:color w:val="auto"/>
        </w:rPr>
        <w:t>健全老年人法律援助制度和老年人维权制度，</w:t>
      </w:r>
      <w:r>
        <w:rPr>
          <w:rFonts w:hint="eastAsia"/>
          <w:color w:val="auto"/>
        </w:rPr>
        <w:t>将</w:t>
      </w:r>
      <w:r>
        <w:rPr>
          <w:color w:val="auto"/>
        </w:rPr>
        <w:t>困难老年人群纳入司法救助对象，酌情减免诉讼费用。在全市普遍开展老年普法教育</w:t>
      </w:r>
      <w:r>
        <w:rPr>
          <w:rFonts w:hint="eastAsia"/>
          <w:color w:val="auto"/>
        </w:rPr>
        <w:t>，</w:t>
      </w:r>
      <w:r>
        <w:rPr>
          <w:color w:val="auto"/>
        </w:rPr>
        <w:t>加强老年人</w:t>
      </w:r>
      <w:r>
        <w:rPr>
          <w:rFonts w:hint="eastAsia"/>
          <w:color w:val="auto"/>
        </w:rPr>
        <w:t>对</w:t>
      </w:r>
      <w:r>
        <w:rPr>
          <w:color w:val="auto"/>
        </w:rPr>
        <w:t>赡养、财产、婚姻、遗嘱订立</w:t>
      </w:r>
      <w:r>
        <w:rPr>
          <w:rFonts w:hint="eastAsia"/>
          <w:color w:val="auto"/>
        </w:rPr>
        <w:t>等</w:t>
      </w:r>
      <w:r>
        <w:rPr>
          <w:color w:val="auto"/>
        </w:rPr>
        <w:t>知识</w:t>
      </w:r>
      <w:r>
        <w:rPr>
          <w:rFonts w:hint="eastAsia"/>
          <w:color w:val="auto"/>
        </w:rPr>
        <w:t>的</w:t>
      </w:r>
      <w:r>
        <w:rPr>
          <w:color w:val="auto"/>
        </w:rPr>
        <w:t>储备</w:t>
      </w:r>
      <w:r>
        <w:rPr>
          <w:rFonts w:hint="eastAsia"/>
          <w:color w:val="auto"/>
        </w:rPr>
        <w:t>，</w:t>
      </w:r>
      <w:r>
        <w:rPr>
          <w:color w:val="auto"/>
        </w:rPr>
        <w:t>强化老年人</w:t>
      </w:r>
      <w:r>
        <w:rPr>
          <w:rFonts w:hint="eastAsia"/>
          <w:color w:val="auto"/>
        </w:rPr>
        <w:t>的</w:t>
      </w:r>
      <w:r>
        <w:rPr>
          <w:color w:val="auto"/>
        </w:rPr>
        <w:t>防范意识。</w:t>
      </w:r>
      <w:r>
        <w:rPr>
          <w:rFonts w:hint="eastAsia"/>
          <w:color w:val="auto"/>
        </w:rPr>
        <w:t>健全联合执法、执法检查、综合评估等制度。完善涉老案件信访、复议、调解、仲裁、诉讼等有机衔接、相互协调的多元化纠纷解决机制。</w:t>
      </w:r>
    </w:p>
    <w:p>
      <w:pPr>
        <w:spacing w:line="560" w:lineRule="exact"/>
        <w:ind w:firstLine="602"/>
        <w:rPr>
          <w:color w:val="auto"/>
        </w:rPr>
      </w:pPr>
      <w:r>
        <w:rPr>
          <w:b/>
          <w:bCs/>
          <w:color w:val="auto"/>
        </w:rPr>
        <w:t>保障职业照护者权益</w:t>
      </w:r>
      <w:r>
        <w:rPr>
          <w:rFonts w:hint="eastAsia"/>
          <w:b/>
          <w:bCs/>
          <w:color w:val="auto"/>
        </w:rPr>
        <w:t>。</w:t>
      </w:r>
      <w:r>
        <w:rPr>
          <w:color w:val="auto"/>
        </w:rPr>
        <w:t>加强对养老服务从业人员和服务机构合法权益的保障与维护</w:t>
      </w:r>
      <w:r>
        <w:rPr>
          <w:rFonts w:hint="eastAsia"/>
          <w:color w:val="auto"/>
        </w:rPr>
        <w:t>，</w:t>
      </w:r>
      <w:r>
        <w:rPr>
          <w:color w:val="auto"/>
        </w:rPr>
        <w:t>全面提升家庭照护者的社会经济地位和权益保障。鼓励医疗机构</w:t>
      </w:r>
      <w:r>
        <w:rPr>
          <w:rFonts w:hint="eastAsia"/>
          <w:color w:val="auto"/>
        </w:rPr>
        <w:t>和养老服务机构</w:t>
      </w:r>
      <w:r>
        <w:rPr>
          <w:color w:val="auto"/>
        </w:rPr>
        <w:t>开展家庭照护者培训，推行家庭照护者带薪请假制度、家庭照护者福利补贴制度和精神关爱制度等。</w:t>
      </w:r>
      <w:r>
        <w:rPr>
          <w:rFonts w:hint="eastAsia"/>
          <w:color w:val="auto"/>
        </w:rPr>
        <w:t>保障劳动权益，鼓励养老服务机构、居家养老服务组织投保综合责任险，</w:t>
      </w:r>
      <w:r>
        <w:rPr>
          <w:color w:val="auto"/>
        </w:rPr>
        <w:t>提高养老服务从业人员的风险抵御能力，保</w:t>
      </w:r>
      <w:r>
        <w:rPr>
          <w:rFonts w:hint="eastAsia"/>
          <w:color w:val="auto"/>
        </w:rPr>
        <w:t>障其合法权益。</w:t>
      </w:r>
    </w:p>
    <w:p>
      <w:pPr>
        <w:spacing w:line="560" w:lineRule="exact"/>
        <w:ind w:firstLine="602"/>
        <w:rPr>
          <w:color w:val="auto"/>
        </w:rPr>
      </w:pPr>
      <w:r>
        <w:rPr>
          <w:rFonts w:hint="eastAsia"/>
          <w:b/>
          <w:bCs/>
          <w:color w:val="auto"/>
        </w:rPr>
        <w:t>加大农村养老服务支持力度。</w:t>
      </w:r>
      <w:r>
        <w:rPr>
          <w:rFonts w:hint="eastAsia"/>
          <w:color w:val="auto"/>
        </w:rPr>
        <w:t>完善农村养老专项支持政策，创新家庭养老、机构养老、互助养老、志愿服务等养老服务模式，让农村老年人不出村、不离乡解决就餐、医疗等难题。加快建设“以院统站带点”农村养老服务体系，制定邻里互助点建设规范及支持措施</w:t>
      </w:r>
      <w:r>
        <w:rPr>
          <w:color w:val="auto"/>
        </w:rPr>
        <w:t>。</w:t>
      </w:r>
      <w:r>
        <w:rPr>
          <w:rFonts w:hint="eastAsia"/>
          <w:color w:val="auto"/>
        </w:rPr>
        <w:t>鼓励城镇资金、资产和资源投向农村养老服务，鼓励城镇养老服务机构与农村养老服务机构建立长期稳定的合作关系，完善区、街道（乡镇）、社区（村）三级对口支援和协作机制。建立农村</w:t>
      </w:r>
      <w:r>
        <w:rPr>
          <w:color w:val="auto"/>
        </w:rPr>
        <w:t>“</w:t>
      </w:r>
      <w:r>
        <w:rPr>
          <w:rFonts w:hint="eastAsia"/>
          <w:color w:val="auto"/>
        </w:rPr>
        <w:t>五保</w:t>
      </w:r>
      <w:r>
        <w:rPr>
          <w:color w:val="auto"/>
        </w:rPr>
        <w:t>”</w:t>
      </w:r>
      <w:r>
        <w:rPr>
          <w:rFonts w:hint="eastAsia"/>
          <w:color w:val="auto"/>
        </w:rPr>
        <w:t>对象供养标准和农村特困老年人救助供养标准自然增长机制。鼓励集体经济组织的收益优先用于农村老年人养老使用。</w:t>
      </w:r>
    </w:p>
    <w:p>
      <w:pPr>
        <w:pStyle w:val="4"/>
        <w:spacing w:before="205" w:after="205" w:line="560" w:lineRule="exact"/>
        <w:rPr>
          <w:color w:val="auto"/>
        </w:rPr>
      </w:pPr>
      <w:bookmarkStart w:id="483" w:name="_Toc16846700"/>
      <w:r>
        <w:rPr>
          <w:rFonts w:hint="eastAsia"/>
          <w:color w:val="auto"/>
        </w:rPr>
        <w:t>第</w:t>
      </w:r>
      <w:r>
        <w:rPr>
          <w:rFonts w:hint="eastAsia"/>
          <w:color w:val="auto"/>
          <w:lang w:val="en-US" w:eastAsia="zh-CN"/>
        </w:rPr>
        <w:t>82</w:t>
      </w:r>
      <w:r>
        <w:rPr>
          <w:color w:val="auto"/>
        </w:rPr>
        <w:t>条</w:t>
      </w:r>
      <w:r>
        <w:rPr>
          <w:rFonts w:hint="eastAsia"/>
          <w:color w:val="auto"/>
        </w:rPr>
        <w:t xml:space="preserve"> 创新财税金融政策</w:t>
      </w:r>
      <w:bookmarkEnd w:id="483"/>
    </w:p>
    <w:p>
      <w:pPr>
        <w:spacing w:line="560" w:lineRule="exact"/>
        <w:ind w:firstLine="602"/>
        <w:rPr>
          <w:color w:val="auto"/>
        </w:rPr>
      </w:pPr>
      <w:r>
        <w:rPr>
          <w:rFonts w:hint="eastAsia"/>
          <w:b/>
          <w:bCs/>
          <w:color w:val="auto"/>
        </w:rPr>
        <w:t>减轻养老服务税费负担。</w:t>
      </w:r>
      <w:r>
        <w:rPr>
          <w:rFonts w:hint="eastAsia"/>
          <w:color w:val="auto"/>
        </w:rPr>
        <w:t>落实小微企业普惠性税收减免政策和社区家庭服务业税费优惠政策。连锁运营的社区养老服务机构单体门店享受小微企业普惠性税收减免政策。社区养老服务机构提供养老服务取得的收入免征增值税，在计算应纳税所得额时按90%计入收入总额。非营利性养老机构按规定免征企业所得税。非营利性养老机构建设全额免征土地复垦费、土地闲置费、耕地开垦费、防空地下室易地建设费以及本市设立的行政事业性收费，营利性养老机构减半征收。</w:t>
      </w:r>
    </w:p>
    <w:p>
      <w:pPr>
        <w:spacing w:line="560" w:lineRule="exact"/>
        <w:ind w:firstLine="602"/>
        <w:rPr>
          <w:color w:val="auto"/>
        </w:rPr>
      </w:pPr>
      <w:r>
        <w:rPr>
          <w:rFonts w:hint="eastAsia"/>
          <w:b/>
          <w:bCs/>
          <w:color w:val="auto"/>
        </w:rPr>
        <w:t>加大养老服务金融支持。</w:t>
      </w:r>
      <w:r>
        <w:rPr>
          <w:rFonts w:hint="eastAsia"/>
          <w:color w:val="auto"/>
        </w:rPr>
        <w:t>落实《北京市关于积极推进普惠金融发展的实施意见》，实施金融支持养老服务业发展和商业养老保险政策。解决养老服务机构融资过程中金融机构违规收取手续费、评估费、承诺费、资金管理费等问题。鼓励养老服务人员投保职业责任险、意外伤害险。</w:t>
      </w:r>
    </w:p>
    <w:p>
      <w:pPr>
        <w:spacing w:line="560" w:lineRule="exact"/>
        <w:ind w:firstLine="602"/>
        <w:rPr>
          <w:color w:val="auto"/>
        </w:rPr>
      </w:pPr>
      <w:r>
        <w:rPr>
          <w:rFonts w:hint="eastAsia"/>
          <w:b/>
          <w:bCs/>
          <w:color w:val="auto"/>
        </w:rPr>
        <w:t>支持养老服务机构连锁品牌运营。</w:t>
      </w:r>
      <w:r>
        <w:rPr>
          <w:rFonts w:hint="eastAsia"/>
          <w:color w:val="auto"/>
        </w:rPr>
        <w:t>加强养老服务机构品牌建设，支持连锁化、综合化、品牌化运营。对已在其他省市取得营业执照的企业，不得要求其在本地开展经营活动时必须设立子公司。实施普惠养老城企联动专项行动，推动形成支持社会力量发展普惠养老的有效合作模式。全面落实外资举办养老服务机构国民待遇，允许外国人担任民办非企业单位的法人代表及机构理事会成员。</w:t>
      </w:r>
    </w:p>
    <w:p>
      <w:pPr>
        <w:pStyle w:val="4"/>
        <w:spacing w:before="205" w:after="205" w:line="560" w:lineRule="exact"/>
        <w:rPr>
          <w:color w:val="auto"/>
        </w:rPr>
      </w:pPr>
      <w:bookmarkStart w:id="484" w:name="_Toc17484_WPSOffice_Level2"/>
      <w:bookmarkStart w:id="485" w:name="_Toc15707_WPSOffice_Level2"/>
      <w:bookmarkStart w:id="486" w:name="_Toc532554210"/>
      <w:bookmarkStart w:id="487" w:name="_Toc28153"/>
      <w:bookmarkStart w:id="488" w:name="_Toc8965_WPSOffice_Level2"/>
      <w:bookmarkStart w:id="489" w:name="_Toc16846702"/>
      <w:r>
        <w:rPr>
          <w:color w:val="auto"/>
        </w:rPr>
        <w:t>第</w:t>
      </w:r>
      <w:r>
        <w:rPr>
          <w:rFonts w:hint="eastAsia"/>
          <w:color w:val="auto"/>
          <w:lang w:val="en-US" w:eastAsia="zh-CN"/>
        </w:rPr>
        <w:t>83</w:t>
      </w:r>
      <w:r>
        <w:rPr>
          <w:color w:val="auto"/>
        </w:rPr>
        <w:t>条</w:t>
      </w:r>
      <w:r>
        <w:rPr>
          <w:rFonts w:hint="eastAsia"/>
          <w:color w:val="auto"/>
        </w:rPr>
        <w:t xml:space="preserve"> </w:t>
      </w:r>
      <w:r>
        <w:rPr>
          <w:color w:val="auto"/>
        </w:rPr>
        <w:t>加大资金保障</w:t>
      </w:r>
      <w:bookmarkEnd w:id="484"/>
      <w:bookmarkEnd w:id="485"/>
      <w:bookmarkEnd w:id="486"/>
      <w:bookmarkEnd w:id="487"/>
      <w:bookmarkEnd w:id="488"/>
    </w:p>
    <w:p>
      <w:pPr>
        <w:spacing w:line="560" w:lineRule="exact"/>
        <w:ind w:firstLine="602"/>
        <w:rPr>
          <w:color w:val="auto"/>
        </w:rPr>
      </w:pPr>
      <w:r>
        <w:rPr>
          <w:b/>
          <w:bCs/>
          <w:color w:val="auto"/>
        </w:rPr>
        <w:t>建立多样化的养老服务投融资模式。</w:t>
      </w:r>
      <w:r>
        <w:rPr>
          <w:color w:val="auto"/>
        </w:rPr>
        <w:t>充分利用各种财政政策和财政资金的导向作用，优先保障</w:t>
      </w:r>
      <w:r>
        <w:rPr>
          <w:rFonts w:hint="eastAsia"/>
          <w:color w:val="auto"/>
        </w:rPr>
        <w:t>补短板</w:t>
      </w:r>
      <w:r>
        <w:rPr>
          <w:color w:val="auto"/>
        </w:rPr>
        <w:t>三年行动计划等重点支出，支持重点企业和项目建设，综合运用信贷激励、税收奖励、区域经济发展调度资金等财税手段促进养老服务业发展壮大、转型升级。</w:t>
      </w:r>
      <w:r>
        <w:rPr>
          <w:rFonts w:hint="eastAsia"/>
          <w:color w:val="auto"/>
        </w:rPr>
        <w:t>按照相关政策规定，保障养老服务事业发展的稳定支持，落实基本养老保障，重点做好养老服务体系建设。加快对</w:t>
      </w:r>
      <w:r>
        <w:rPr>
          <w:color w:val="auto"/>
        </w:rPr>
        <w:t>医养结合发展、居家社区养老、养老服务人才队伍建设</w:t>
      </w:r>
      <w:r>
        <w:rPr>
          <w:rFonts w:hint="eastAsia"/>
          <w:color w:val="auto"/>
        </w:rPr>
        <w:t>等</w:t>
      </w:r>
      <w:r>
        <w:rPr>
          <w:color w:val="auto"/>
        </w:rPr>
        <w:t>工作的财政支持。根据实际需要，推进公建民营、民办公助，选择通过补助投资、贷款贴息、运营补贴、购买服务等方式，支持社会力量开展养老服务。</w:t>
      </w:r>
    </w:p>
    <w:p>
      <w:pPr>
        <w:pStyle w:val="4"/>
        <w:spacing w:before="205" w:after="205" w:line="560" w:lineRule="exact"/>
        <w:rPr>
          <w:color w:val="auto"/>
        </w:rPr>
      </w:pPr>
      <w:bookmarkStart w:id="490" w:name="_Toc32281_WPSOffice_Level2"/>
      <w:bookmarkStart w:id="491" w:name="_Toc532554211"/>
      <w:bookmarkStart w:id="492" w:name="_Toc30465_WPSOffice_Level2"/>
      <w:bookmarkStart w:id="493" w:name="_Toc24830_WPSOffice_Level2"/>
      <w:bookmarkStart w:id="494" w:name="_Toc25429"/>
      <w:r>
        <w:rPr>
          <w:color w:val="auto"/>
        </w:rPr>
        <w:t>第</w:t>
      </w:r>
      <w:r>
        <w:rPr>
          <w:rFonts w:hint="eastAsia"/>
          <w:color w:val="auto"/>
          <w:lang w:val="en-US" w:eastAsia="zh-CN"/>
        </w:rPr>
        <w:t>84</w:t>
      </w:r>
      <w:r>
        <w:rPr>
          <w:color w:val="auto"/>
        </w:rPr>
        <w:t>条</w:t>
      </w:r>
      <w:bookmarkEnd w:id="490"/>
      <w:bookmarkEnd w:id="491"/>
      <w:bookmarkEnd w:id="492"/>
      <w:bookmarkEnd w:id="493"/>
      <w:bookmarkEnd w:id="494"/>
      <w:r>
        <w:rPr>
          <w:rFonts w:hint="eastAsia"/>
          <w:color w:val="auto"/>
        </w:rPr>
        <w:t xml:space="preserve"> 加强服务保障</w:t>
      </w:r>
    </w:p>
    <w:p>
      <w:pPr>
        <w:spacing w:line="560" w:lineRule="exact"/>
        <w:ind w:firstLine="602"/>
        <w:rPr>
          <w:color w:val="auto"/>
        </w:rPr>
      </w:pPr>
      <w:r>
        <w:rPr>
          <w:rFonts w:hint="eastAsia"/>
          <w:b/>
          <w:bCs/>
          <w:color w:val="auto"/>
        </w:rPr>
        <w:t>制定基本养老服务对象服务清单及标准。</w:t>
      </w:r>
      <w:r>
        <w:rPr>
          <w:rFonts w:hint="eastAsia"/>
          <w:color w:val="auto"/>
        </w:rPr>
        <w:t>对提供就近长期照护服务的养老服务机构，统一基本服务标准、价格水平、补贴标准和护理员待遇。对有意愿入住养老机构的经济困难失能老年人，按照一定标准</w:t>
      </w:r>
      <w:r>
        <w:rPr>
          <w:rFonts w:hint="eastAsia"/>
          <w:color w:val="auto"/>
          <w:lang w:eastAsia="zh-CN"/>
        </w:rPr>
        <w:t>给予补助，</w:t>
      </w:r>
      <w:r>
        <w:rPr>
          <w:rFonts w:hint="eastAsia"/>
          <w:color w:val="auto"/>
        </w:rPr>
        <w:t>确保住得起养老机构。制定失智老年人照护服务政策，支持建设失智老年人照护机构或照护专区。无子女老年人同等享受计划生育特殊家庭老年人照护支持政策。支持经济困难、重度失能、</w:t>
      </w:r>
      <w:r>
        <w:rPr>
          <w:rFonts w:hint="eastAsia"/>
          <w:color w:val="auto"/>
          <w:lang w:eastAsia="zh-CN"/>
        </w:rPr>
        <w:t>重度</w:t>
      </w:r>
      <w:r>
        <w:rPr>
          <w:rFonts w:hint="eastAsia"/>
          <w:color w:val="auto"/>
        </w:rPr>
        <w:t>残疾老年人家庭按照每户不高于</w:t>
      </w:r>
      <w:r>
        <w:rPr>
          <w:color w:val="auto"/>
        </w:rPr>
        <w:t>5000</w:t>
      </w:r>
      <w:r>
        <w:rPr>
          <w:rFonts w:hint="eastAsia"/>
          <w:color w:val="auto"/>
        </w:rPr>
        <w:t>元的标准，进行居家适老化改造。</w:t>
      </w:r>
    </w:p>
    <w:p>
      <w:pPr>
        <w:pStyle w:val="3"/>
        <w:spacing w:before="205" w:after="205" w:line="560" w:lineRule="exact"/>
        <w:rPr>
          <w:color w:val="auto"/>
        </w:rPr>
      </w:pPr>
      <w:bookmarkStart w:id="495" w:name="_Toc21026"/>
      <w:bookmarkStart w:id="496" w:name="_Toc4793"/>
      <w:bookmarkStart w:id="497" w:name="_Toc658536657"/>
      <w:bookmarkStart w:id="498" w:name="_Toc26989"/>
      <w:bookmarkStart w:id="499" w:name="_Toc21710"/>
      <w:bookmarkStart w:id="500" w:name="_Toc30359"/>
      <w:bookmarkStart w:id="501" w:name="_Toc23514"/>
      <w:r>
        <w:rPr>
          <w:rFonts w:hint="eastAsia"/>
          <w:color w:val="auto"/>
        </w:rPr>
        <w:t>第二节 强化监督管理</w:t>
      </w:r>
      <w:bookmarkEnd w:id="495"/>
      <w:bookmarkEnd w:id="496"/>
      <w:bookmarkEnd w:id="497"/>
      <w:bookmarkEnd w:id="498"/>
      <w:bookmarkEnd w:id="499"/>
      <w:bookmarkEnd w:id="500"/>
      <w:bookmarkEnd w:id="501"/>
    </w:p>
    <w:bookmarkEnd w:id="489"/>
    <w:p>
      <w:pPr>
        <w:pStyle w:val="4"/>
        <w:spacing w:before="205" w:after="205" w:line="560" w:lineRule="exact"/>
        <w:rPr>
          <w:color w:val="auto"/>
        </w:rPr>
      </w:pPr>
      <w:r>
        <w:rPr>
          <w:rFonts w:hint="eastAsia"/>
          <w:color w:val="auto"/>
        </w:rPr>
        <w:t>第</w:t>
      </w:r>
      <w:r>
        <w:rPr>
          <w:rFonts w:hint="eastAsia"/>
          <w:color w:val="auto"/>
          <w:lang w:val="en-US" w:eastAsia="zh-CN"/>
        </w:rPr>
        <w:t>85</w:t>
      </w:r>
      <w:r>
        <w:rPr>
          <w:rFonts w:hint="eastAsia"/>
          <w:color w:val="auto"/>
        </w:rPr>
        <w:t>条 加强养老服务综合监管</w:t>
      </w:r>
    </w:p>
    <w:p>
      <w:pPr>
        <w:spacing w:line="560" w:lineRule="exact"/>
        <w:ind w:firstLine="602"/>
        <w:rPr>
          <w:color w:val="auto"/>
        </w:rPr>
      </w:pPr>
      <w:r>
        <w:rPr>
          <w:rFonts w:hint="eastAsia"/>
          <w:b/>
          <w:bCs/>
          <w:color w:val="auto"/>
        </w:rPr>
        <w:t>加强养老服务质量监管。</w:t>
      </w:r>
      <w:r>
        <w:rPr>
          <w:rFonts w:hint="eastAsia"/>
          <w:color w:val="auto"/>
        </w:rPr>
        <w:t>持续开展养老机构服务质量达标活动，建立养老服务风险防控体系和养老服务质量监测机制。推进养老服务标准化建设，制定养老服务业标准体系，实施养老服务机构星级评定。加强养老服务信用监管，建立信用黑名单制度，建立联合惩戒及退出机制。</w:t>
      </w:r>
    </w:p>
    <w:p>
      <w:pPr>
        <w:spacing w:line="560" w:lineRule="exact"/>
        <w:ind w:firstLine="602"/>
        <w:rPr>
          <w:color w:val="auto"/>
        </w:rPr>
      </w:pPr>
      <w:r>
        <w:rPr>
          <w:b/>
          <w:bCs/>
          <w:color w:val="auto"/>
        </w:rPr>
        <w:t>建立全市养老服务发展统计与发布制度</w:t>
      </w:r>
      <w:r>
        <w:rPr>
          <w:rFonts w:hint="eastAsia"/>
          <w:b/>
          <w:bCs/>
          <w:color w:val="auto"/>
        </w:rPr>
        <w:t>。</w:t>
      </w:r>
      <w:r>
        <w:rPr>
          <w:color w:val="auto"/>
        </w:rPr>
        <w:t>健全评价与监测指标体系，完善养老服务统计分类标准，加强统计监测工作。建立信息披露制度，及时公布全市及各区养老服务相关的供需信息或投资指南、重要政策落实情况。强化对养老机构和服务组织</w:t>
      </w:r>
      <w:r>
        <w:rPr>
          <w:rFonts w:hint="eastAsia"/>
          <w:color w:val="auto"/>
        </w:rPr>
        <w:t>的</w:t>
      </w:r>
      <w:r>
        <w:rPr>
          <w:color w:val="auto"/>
        </w:rPr>
        <w:t>服务质量和运营情况</w:t>
      </w:r>
      <w:r>
        <w:rPr>
          <w:rFonts w:hint="eastAsia"/>
          <w:color w:val="auto"/>
        </w:rPr>
        <w:t>进</w:t>
      </w:r>
      <w:r>
        <w:rPr>
          <w:color w:val="auto"/>
        </w:rPr>
        <w:t>行监管。制定养老服务机构服务质量信息公开规范。</w:t>
      </w:r>
    </w:p>
    <w:p>
      <w:pPr>
        <w:spacing w:line="560" w:lineRule="exact"/>
        <w:ind w:firstLine="602"/>
        <w:rPr>
          <w:color w:val="auto"/>
        </w:rPr>
      </w:pPr>
      <w:r>
        <w:rPr>
          <w:b/>
          <w:bCs/>
          <w:color w:val="auto"/>
        </w:rPr>
        <w:t>加紧</w:t>
      </w:r>
      <w:r>
        <w:rPr>
          <w:rFonts w:hint="eastAsia"/>
          <w:b/>
          <w:bCs/>
          <w:color w:val="auto"/>
        </w:rPr>
        <w:t>规划落实</w:t>
      </w:r>
      <w:r>
        <w:rPr>
          <w:b/>
          <w:bCs/>
          <w:color w:val="auto"/>
        </w:rPr>
        <w:t>监督检查</w:t>
      </w:r>
      <w:r>
        <w:rPr>
          <w:rFonts w:hint="eastAsia"/>
          <w:b/>
          <w:bCs/>
          <w:color w:val="auto"/>
        </w:rPr>
        <w:t>。</w:t>
      </w:r>
      <w:r>
        <w:rPr>
          <w:rFonts w:hint="eastAsia"/>
          <w:color w:val="auto"/>
        </w:rPr>
        <w:t>各区制定相应的刚性约束指标和正向激励机制，加强对规划实施的监督检查，将责任落实与作风建设纳入工作绩效考核。根据本规划要求，结合实际抓紧制定检查方案，适时组织专项督查，重点监督养老有关部门任务落实情况。做到公平公正公开，向社会公布评估结果及报告，鼓励表彰先进单位、示范机构和优秀个人。</w:t>
      </w:r>
    </w:p>
    <w:p>
      <w:pPr>
        <w:pStyle w:val="4"/>
        <w:spacing w:before="205" w:after="205" w:line="560" w:lineRule="exact"/>
        <w:rPr>
          <w:color w:val="auto"/>
        </w:rPr>
      </w:pPr>
      <w:bookmarkStart w:id="502" w:name="_Toc29411621"/>
      <w:r>
        <w:rPr>
          <w:color w:val="auto"/>
        </w:rPr>
        <w:t>第</w:t>
      </w:r>
      <w:r>
        <w:rPr>
          <w:rFonts w:hint="eastAsia"/>
          <w:color w:val="auto"/>
          <w:lang w:val="en-US" w:eastAsia="zh-CN"/>
        </w:rPr>
        <w:t>86</w:t>
      </w:r>
      <w:r>
        <w:rPr>
          <w:color w:val="auto"/>
        </w:rPr>
        <w:t>条</w:t>
      </w:r>
      <w:r>
        <w:rPr>
          <w:rFonts w:hint="eastAsia"/>
          <w:color w:val="auto"/>
        </w:rPr>
        <w:t xml:space="preserve"> </w:t>
      </w:r>
      <w:r>
        <w:rPr>
          <w:color w:val="auto"/>
        </w:rPr>
        <w:t>加强</w:t>
      </w:r>
      <w:r>
        <w:rPr>
          <w:rFonts w:hint="eastAsia"/>
          <w:color w:val="auto"/>
        </w:rPr>
        <w:t>养老</w:t>
      </w:r>
      <w:r>
        <w:rPr>
          <w:color w:val="auto"/>
        </w:rPr>
        <w:t>行业监管</w:t>
      </w:r>
      <w:bookmarkEnd w:id="502"/>
    </w:p>
    <w:p>
      <w:pPr>
        <w:autoSpaceDE w:val="0"/>
        <w:autoSpaceDN w:val="0"/>
        <w:adjustRightInd w:val="0"/>
        <w:spacing w:line="560" w:lineRule="exact"/>
        <w:ind w:firstLine="602"/>
        <w:jc w:val="left"/>
        <w:rPr>
          <w:color w:val="auto"/>
          <w:kern w:val="0"/>
        </w:rPr>
      </w:pPr>
      <w:r>
        <w:rPr>
          <w:b/>
          <w:bCs/>
          <w:color w:val="auto"/>
        </w:rPr>
        <w:t>加强行业</w:t>
      </w:r>
      <w:r>
        <w:rPr>
          <w:rFonts w:hint="eastAsia"/>
          <w:b/>
          <w:bCs/>
          <w:color w:val="auto"/>
        </w:rPr>
        <w:t>审批</w:t>
      </w:r>
      <w:r>
        <w:rPr>
          <w:b/>
          <w:bCs/>
          <w:color w:val="auto"/>
        </w:rPr>
        <w:t>监管</w:t>
      </w:r>
      <w:r>
        <w:rPr>
          <w:rFonts w:hint="eastAsia"/>
          <w:b/>
          <w:bCs/>
          <w:color w:val="auto"/>
        </w:rPr>
        <w:t>。</w:t>
      </w:r>
      <w:r>
        <w:rPr>
          <w:color w:val="auto"/>
          <w:kern w:val="0"/>
        </w:rPr>
        <w:t>精简行政审批手续，形成养老机构设置的跨部门、全流程综合审批。甄别养老地产与养老机构</w:t>
      </w:r>
      <w:r>
        <w:rPr>
          <w:rFonts w:hint="eastAsia"/>
          <w:color w:val="auto"/>
          <w:kern w:val="0"/>
        </w:rPr>
        <w:t>，</w:t>
      </w:r>
      <w:r>
        <w:rPr>
          <w:color w:val="auto"/>
          <w:kern w:val="0"/>
        </w:rPr>
        <w:t>坚持事前审批与事后监管相结合</w:t>
      </w:r>
      <w:r>
        <w:rPr>
          <w:rFonts w:hint="eastAsia"/>
          <w:color w:val="auto"/>
          <w:kern w:val="0"/>
        </w:rPr>
        <w:t>，</w:t>
      </w:r>
      <w:r>
        <w:rPr>
          <w:color w:val="auto"/>
          <w:kern w:val="0"/>
        </w:rPr>
        <w:t>形成对养老机构的全过程监督。</w:t>
      </w:r>
    </w:p>
    <w:p>
      <w:pPr>
        <w:spacing w:line="560" w:lineRule="exact"/>
        <w:ind w:firstLine="602"/>
        <w:rPr>
          <w:color w:val="auto"/>
        </w:rPr>
      </w:pPr>
      <w:bookmarkStart w:id="503" w:name="_Toc532554186"/>
      <w:bookmarkStart w:id="504" w:name="_Toc16768"/>
      <w:r>
        <w:rPr>
          <w:b/>
          <w:bCs/>
          <w:color w:val="auto"/>
        </w:rPr>
        <w:t>加强养老服务行业信用体系建设</w:t>
      </w:r>
      <w:bookmarkEnd w:id="503"/>
      <w:bookmarkEnd w:id="504"/>
      <w:r>
        <w:rPr>
          <w:rFonts w:hint="eastAsia"/>
          <w:b/>
          <w:bCs/>
          <w:color w:val="auto"/>
        </w:rPr>
        <w:t>。</w:t>
      </w:r>
      <w:r>
        <w:rPr>
          <w:color w:val="auto"/>
        </w:rPr>
        <w:t>建立覆盖养老服务行业法人、从业人员和服务对象的行业信用体系，建立健全信用信息记录和信息归集机制，加强与全国信用信息共享平台的信息交换和共享协同。加强对守信主体的奖励和激励，深化信用信息和信用产品在市场监管和公共服务过程中的应用，营造守信光荣的舆论氛围。</w:t>
      </w:r>
    </w:p>
    <w:p>
      <w:pPr>
        <w:spacing w:line="560" w:lineRule="exact"/>
        <w:ind w:firstLine="602"/>
        <w:rPr>
          <w:color w:val="auto"/>
        </w:rPr>
      </w:pPr>
      <w:r>
        <w:rPr>
          <w:rFonts w:hint="eastAsia"/>
          <w:b/>
          <w:bCs/>
          <w:color w:val="auto"/>
        </w:rPr>
        <w:t>加强养老服务领域非法集资整治工作。</w:t>
      </w:r>
      <w:r>
        <w:rPr>
          <w:rFonts w:hint="eastAsia"/>
          <w:color w:val="auto"/>
        </w:rPr>
        <w:t>规范养老服务收费和会员制管理，除利用自建或自有设施举办的养老服务机构外，审慎实施会员制。对养老机构通过销售预付费性质“会员卡”等形式进行营销的，按照包容审慎监管原则，明确限制性条件，采取以机构名义开设账户、商业银行第三方存管方式，确保资金管理使用安全。</w:t>
      </w:r>
    </w:p>
    <w:bookmarkEnd w:id="431"/>
    <w:bookmarkEnd w:id="432"/>
    <w:bookmarkEnd w:id="433"/>
    <w:p>
      <w:pPr>
        <w:pStyle w:val="3"/>
        <w:spacing w:beforeLines="0" w:afterLines="0" w:line="560" w:lineRule="exact"/>
        <w:rPr>
          <w:color w:val="auto"/>
        </w:rPr>
      </w:pPr>
      <w:bookmarkStart w:id="505" w:name="_Toc12409_WPSOffice_Level2"/>
      <w:bookmarkStart w:id="506" w:name="_Toc4467_WPSOffice_Level2"/>
      <w:bookmarkStart w:id="507" w:name="_Toc9498_WPSOffice_Level2"/>
      <w:bookmarkStart w:id="508" w:name="_Hlk14794274"/>
      <w:bookmarkStart w:id="509" w:name="_Toc29042"/>
      <w:bookmarkStart w:id="510" w:name="_Toc28841"/>
      <w:bookmarkStart w:id="511" w:name="_Toc11720"/>
      <w:bookmarkStart w:id="512" w:name="_Toc16438"/>
      <w:bookmarkStart w:id="513" w:name="_Toc28726"/>
      <w:bookmarkStart w:id="514" w:name="_Toc2100"/>
      <w:bookmarkStart w:id="515" w:name="_Toc1572060672"/>
      <w:r>
        <w:rPr>
          <w:rFonts w:hint="eastAsia"/>
          <w:color w:val="auto"/>
        </w:rPr>
        <w:t>第三节</w:t>
      </w:r>
      <w:bookmarkEnd w:id="505"/>
      <w:bookmarkEnd w:id="506"/>
      <w:bookmarkEnd w:id="507"/>
      <w:bookmarkEnd w:id="508"/>
      <w:r>
        <w:rPr>
          <w:rFonts w:hint="eastAsia"/>
          <w:color w:val="auto"/>
        </w:rPr>
        <w:t xml:space="preserve"> </w:t>
      </w:r>
      <w:r>
        <w:rPr>
          <w:color w:val="auto"/>
        </w:rPr>
        <w:t>加强统筹协调</w:t>
      </w:r>
      <w:bookmarkEnd w:id="509"/>
      <w:bookmarkEnd w:id="510"/>
      <w:bookmarkEnd w:id="511"/>
      <w:bookmarkEnd w:id="512"/>
      <w:bookmarkEnd w:id="513"/>
      <w:bookmarkEnd w:id="514"/>
      <w:bookmarkEnd w:id="515"/>
    </w:p>
    <w:p>
      <w:pPr>
        <w:pStyle w:val="4"/>
        <w:spacing w:beforeLines="0" w:afterLines="0" w:line="560" w:lineRule="exact"/>
        <w:rPr>
          <w:color w:val="auto"/>
        </w:rPr>
      </w:pPr>
      <w:r>
        <w:rPr>
          <w:rFonts w:hint="eastAsia"/>
          <w:color w:val="auto"/>
        </w:rPr>
        <w:t>第</w:t>
      </w:r>
      <w:r>
        <w:rPr>
          <w:rFonts w:hint="eastAsia"/>
          <w:color w:val="auto"/>
          <w:lang w:val="en-US" w:eastAsia="zh-CN"/>
        </w:rPr>
        <w:t>87</w:t>
      </w:r>
      <w:r>
        <w:rPr>
          <w:rFonts w:hint="eastAsia"/>
          <w:color w:val="auto"/>
        </w:rPr>
        <w:t>条 建立养老联席会议工作机制</w:t>
      </w:r>
    </w:p>
    <w:p>
      <w:pPr>
        <w:spacing w:line="560" w:lineRule="exact"/>
        <w:ind w:firstLine="600"/>
        <w:rPr>
          <w:color w:val="auto"/>
        </w:rPr>
      </w:pPr>
      <w:r>
        <w:rPr>
          <w:color w:val="auto"/>
        </w:rPr>
        <w:t>建立部门联动机制</w:t>
      </w:r>
      <w:r>
        <w:rPr>
          <w:rFonts w:hint="eastAsia"/>
          <w:color w:val="auto"/>
        </w:rPr>
        <w:t>。</w:t>
      </w:r>
      <w:r>
        <w:rPr>
          <w:color w:val="auto"/>
        </w:rPr>
        <w:t>各级政府要高度重视养老服务体系建设和养老服务产业发展工作，落实属地责任，建立工作责任制。实行政府统一领导，</w:t>
      </w:r>
      <w:r>
        <w:rPr>
          <w:rFonts w:hint="eastAsia"/>
          <w:color w:val="auto"/>
        </w:rPr>
        <w:t>通过市级养老服务联席会议和市老龄委议事协调机制，由</w:t>
      </w:r>
      <w:r>
        <w:rPr>
          <w:color w:val="auto"/>
        </w:rPr>
        <w:t>民政部门牵头，</w:t>
      </w:r>
      <w:r>
        <w:rPr>
          <w:rFonts w:hint="eastAsia"/>
          <w:color w:val="auto"/>
        </w:rPr>
        <w:t>发改、</w:t>
      </w:r>
      <w:r>
        <w:rPr>
          <w:color w:val="auto"/>
        </w:rPr>
        <w:t>财政、规</w:t>
      </w:r>
      <w:r>
        <w:rPr>
          <w:rFonts w:hint="eastAsia"/>
          <w:color w:val="auto"/>
        </w:rPr>
        <w:t>自</w:t>
      </w:r>
      <w:r>
        <w:rPr>
          <w:color w:val="auto"/>
        </w:rPr>
        <w:t>、</w:t>
      </w:r>
      <w:r>
        <w:rPr>
          <w:rFonts w:hint="eastAsia"/>
          <w:color w:val="auto"/>
        </w:rPr>
        <w:t>住建、人社、</w:t>
      </w:r>
      <w:r>
        <w:rPr>
          <w:color w:val="auto"/>
        </w:rPr>
        <w:t>卫健、</w:t>
      </w:r>
      <w:r>
        <w:rPr>
          <w:rFonts w:hint="eastAsia"/>
          <w:color w:val="auto"/>
        </w:rPr>
        <w:t>应急、医保</w:t>
      </w:r>
      <w:r>
        <w:rPr>
          <w:color w:val="auto"/>
        </w:rPr>
        <w:t>以及</w:t>
      </w:r>
      <w:r>
        <w:rPr>
          <w:rFonts w:hint="eastAsia"/>
          <w:color w:val="auto"/>
        </w:rPr>
        <w:t>市场监督管理</w:t>
      </w:r>
      <w:r>
        <w:rPr>
          <w:color w:val="auto"/>
        </w:rPr>
        <w:t>部门协同，职能部门履职，监督部门保障的工作机制，及时应对解决发展中的瓶颈</w:t>
      </w:r>
      <w:r>
        <w:rPr>
          <w:rFonts w:hint="eastAsia"/>
          <w:color w:val="auto"/>
        </w:rPr>
        <w:t>。</w:t>
      </w:r>
    </w:p>
    <w:p>
      <w:pPr>
        <w:pStyle w:val="4"/>
        <w:spacing w:beforeLines="0" w:afterLines="0" w:line="560" w:lineRule="exact"/>
        <w:rPr>
          <w:color w:val="auto"/>
        </w:rPr>
      </w:pPr>
      <w:r>
        <w:rPr>
          <w:color w:val="auto"/>
        </w:rPr>
        <w:br w:type="page"/>
      </w:r>
      <w:r>
        <w:rPr>
          <w:rFonts w:hint="eastAsia"/>
          <w:color w:val="auto"/>
        </w:rPr>
        <w:t>第</w:t>
      </w:r>
      <w:r>
        <w:rPr>
          <w:rFonts w:hint="eastAsia"/>
          <w:color w:val="auto"/>
          <w:lang w:val="en-US" w:eastAsia="zh-CN"/>
        </w:rPr>
        <w:t>88</w:t>
      </w:r>
      <w:r>
        <w:rPr>
          <w:rFonts w:hint="eastAsia"/>
          <w:color w:val="auto"/>
        </w:rPr>
        <w:t>条 建立同抓共管重点任务责任机制</w:t>
      </w:r>
    </w:p>
    <w:p>
      <w:pPr>
        <w:pStyle w:val="15"/>
        <w:spacing w:after="205" w:line="560" w:lineRule="exact"/>
        <w:rPr>
          <w:color w:val="auto"/>
        </w:rPr>
      </w:pPr>
      <w:r>
        <w:rPr>
          <w:rFonts w:hint="eastAsia"/>
          <w:color w:val="auto"/>
        </w:rPr>
        <w:t>表</w:t>
      </w:r>
      <w:r>
        <w:rPr>
          <w:color w:val="auto"/>
        </w:rPr>
        <w:t>8</w:t>
      </w:r>
      <w:r>
        <w:rPr>
          <w:rFonts w:hint="eastAsia"/>
          <w:color w:val="auto"/>
        </w:rPr>
        <w:t xml:space="preserve"> </w:t>
      </w:r>
      <w:r>
        <w:rPr>
          <w:color w:val="auto"/>
        </w:rPr>
        <w:t>重点任务分工</w:t>
      </w:r>
    </w:p>
    <w:tbl>
      <w:tblPr>
        <w:tblStyle w:val="39"/>
        <w:tblW w:w="7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2"/>
        <w:gridCol w:w="4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2722" w:type="dxa"/>
            <w:vAlign w:val="center"/>
          </w:tcPr>
          <w:p>
            <w:pPr>
              <w:pStyle w:val="44"/>
              <w:spacing w:line="560" w:lineRule="exact"/>
              <w:rPr>
                <w:color w:val="auto"/>
                <w:sz w:val="24"/>
              </w:rPr>
            </w:pPr>
            <w:r>
              <w:rPr>
                <w:color w:val="auto"/>
                <w:sz w:val="24"/>
              </w:rPr>
              <w:t>部门</w:t>
            </w:r>
          </w:p>
        </w:tc>
        <w:tc>
          <w:tcPr>
            <w:tcW w:w="4558" w:type="dxa"/>
            <w:vAlign w:val="center"/>
          </w:tcPr>
          <w:p>
            <w:pPr>
              <w:pStyle w:val="44"/>
              <w:spacing w:line="560" w:lineRule="exact"/>
              <w:rPr>
                <w:color w:val="auto"/>
                <w:sz w:val="24"/>
              </w:rPr>
            </w:pPr>
            <w:r>
              <w:rPr>
                <w:rFonts w:hint="eastAsia"/>
                <w:color w:val="auto"/>
                <w:sz w:val="24"/>
              </w:rPr>
              <w:t>重点任务</w:t>
            </w:r>
            <w:r>
              <w:rPr>
                <w:color w:val="auto"/>
                <w:sz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22" w:type="dxa"/>
            <w:vAlign w:val="center"/>
          </w:tcPr>
          <w:p>
            <w:pPr>
              <w:pStyle w:val="44"/>
              <w:spacing w:line="560" w:lineRule="exact"/>
              <w:rPr>
                <w:color w:val="auto"/>
              </w:rPr>
            </w:pPr>
            <w:r>
              <w:rPr>
                <w:color w:val="auto"/>
              </w:rPr>
              <w:t>发展改革部门</w:t>
            </w:r>
          </w:p>
          <w:p>
            <w:pPr>
              <w:pStyle w:val="44"/>
              <w:spacing w:line="560" w:lineRule="exact"/>
              <w:rPr>
                <w:color w:val="auto"/>
              </w:rPr>
            </w:pPr>
            <w:r>
              <w:rPr>
                <w:color w:val="auto"/>
              </w:rPr>
              <w:t>财政部门</w:t>
            </w:r>
          </w:p>
        </w:tc>
        <w:tc>
          <w:tcPr>
            <w:tcW w:w="4558" w:type="dxa"/>
            <w:vAlign w:val="center"/>
          </w:tcPr>
          <w:p>
            <w:pPr>
              <w:pStyle w:val="44"/>
              <w:spacing w:line="560" w:lineRule="exact"/>
              <w:jc w:val="left"/>
              <w:rPr>
                <w:b w:val="0"/>
                <w:bCs w:val="0"/>
                <w:color w:val="auto"/>
              </w:rPr>
            </w:pPr>
            <w:r>
              <w:rPr>
                <w:b w:val="0"/>
                <w:bCs w:val="0"/>
                <w:color w:val="auto"/>
              </w:rPr>
              <w:t>按照公共财政服从和服务于公共政策的原则，把养老服务作为重要民生项目和重要的经济增长点加大投入和项目执行力度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22" w:type="dxa"/>
            <w:vAlign w:val="center"/>
          </w:tcPr>
          <w:p>
            <w:pPr>
              <w:pStyle w:val="44"/>
              <w:spacing w:line="560" w:lineRule="exact"/>
              <w:rPr>
                <w:color w:val="auto"/>
              </w:rPr>
            </w:pPr>
            <w:r>
              <w:rPr>
                <w:rFonts w:hint="eastAsia"/>
                <w:color w:val="auto"/>
              </w:rPr>
              <w:t>规划和自然资源部门</w:t>
            </w:r>
          </w:p>
          <w:p>
            <w:pPr>
              <w:pStyle w:val="44"/>
              <w:spacing w:line="560" w:lineRule="exact"/>
              <w:rPr>
                <w:color w:val="auto"/>
              </w:rPr>
            </w:pPr>
            <w:r>
              <w:rPr>
                <w:rFonts w:hint="eastAsia"/>
                <w:color w:val="auto"/>
              </w:rPr>
              <w:t>住房和城乡建设部门</w:t>
            </w:r>
          </w:p>
        </w:tc>
        <w:tc>
          <w:tcPr>
            <w:tcW w:w="4558" w:type="dxa"/>
            <w:vAlign w:val="center"/>
          </w:tcPr>
          <w:p>
            <w:pPr>
              <w:pStyle w:val="44"/>
              <w:spacing w:line="560" w:lineRule="exact"/>
              <w:jc w:val="left"/>
              <w:rPr>
                <w:b w:val="0"/>
                <w:bCs w:val="0"/>
                <w:color w:val="auto"/>
              </w:rPr>
            </w:pPr>
            <w:r>
              <w:rPr>
                <w:rFonts w:hint="eastAsia"/>
                <w:b w:val="0"/>
                <w:bCs w:val="0"/>
                <w:color w:val="auto"/>
              </w:rPr>
              <w:t>负责</w:t>
            </w:r>
            <w:r>
              <w:rPr>
                <w:b w:val="0"/>
                <w:bCs w:val="0"/>
                <w:color w:val="auto"/>
              </w:rPr>
              <w:t>养老服务用地的校核</w:t>
            </w:r>
            <w:r>
              <w:rPr>
                <w:rFonts w:hint="eastAsia"/>
                <w:b w:val="0"/>
                <w:bCs w:val="0"/>
                <w:color w:val="auto"/>
                <w:lang w:eastAsia="zh-CN"/>
              </w:rPr>
              <w:t>、</w:t>
            </w:r>
            <w:r>
              <w:rPr>
                <w:b w:val="0"/>
                <w:bCs w:val="0"/>
                <w:color w:val="auto"/>
              </w:rPr>
              <w:t>规划和预留等工作，指导养老服务设施有序建设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2722" w:type="dxa"/>
            <w:vAlign w:val="center"/>
          </w:tcPr>
          <w:p>
            <w:pPr>
              <w:pStyle w:val="44"/>
              <w:spacing w:line="560" w:lineRule="exact"/>
              <w:rPr>
                <w:color w:val="auto"/>
              </w:rPr>
            </w:pPr>
            <w:r>
              <w:rPr>
                <w:color w:val="auto"/>
              </w:rPr>
              <w:t>民政部门</w:t>
            </w:r>
          </w:p>
        </w:tc>
        <w:tc>
          <w:tcPr>
            <w:tcW w:w="4558" w:type="dxa"/>
            <w:vAlign w:val="center"/>
          </w:tcPr>
          <w:p>
            <w:pPr>
              <w:pStyle w:val="44"/>
              <w:spacing w:line="560" w:lineRule="exact"/>
              <w:jc w:val="left"/>
              <w:rPr>
                <w:b w:val="0"/>
                <w:bCs w:val="0"/>
                <w:color w:val="auto"/>
              </w:rPr>
            </w:pPr>
            <w:r>
              <w:rPr>
                <w:rFonts w:hint="eastAsia"/>
                <w:b w:val="0"/>
                <w:bCs w:val="0"/>
                <w:color w:val="auto"/>
              </w:rPr>
              <w:t>实施</w:t>
            </w:r>
            <w:r>
              <w:rPr>
                <w:b w:val="0"/>
                <w:bCs w:val="0"/>
                <w:color w:val="auto"/>
              </w:rPr>
              <w:t>行业监管和业务指导工作</w:t>
            </w:r>
            <w:r>
              <w:rPr>
                <w:rFonts w:hint="eastAsia"/>
                <w:b w:val="0"/>
                <w:bCs w:val="0"/>
                <w:color w:val="auto"/>
              </w:rPr>
              <w:t>，</w:t>
            </w:r>
            <w:r>
              <w:rPr>
                <w:b w:val="0"/>
                <w:bCs w:val="0"/>
                <w:color w:val="auto"/>
              </w:rPr>
              <w:t>培育和发展养老服务社会组织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22" w:type="dxa"/>
            <w:vAlign w:val="center"/>
          </w:tcPr>
          <w:p>
            <w:pPr>
              <w:pStyle w:val="44"/>
              <w:spacing w:line="560" w:lineRule="exact"/>
              <w:rPr>
                <w:color w:val="auto"/>
              </w:rPr>
            </w:pPr>
            <w:r>
              <w:rPr>
                <w:color w:val="auto"/>
              </w:rPr>
              <w:t>卫健部门</w:t>
            </w:r>
          </w:p>
        </w:tc>
        <w:tc>
          <w:tcPr>
            <w:tcW w:w="4558" w:type="dxa"/>
            <w:vAlign w:val="center"/>
          </w:tcPr>
          <w:p>
            <w:pPr>
              <w:pStyle w:val="44"/>
              <w:spacing w:line="560" w:lineRule="exact"/>
              <w:jc w:val="left"/>
              <w:rPr>
                <w:b w:val="0"/>
                <w:bCs w:val="0"/>
                <w:color w:val="auto"/>
              </w:rPr>
            </w:pPr>
            <w:r>
              <w:rPr>
                <w:rFonts w:hint="eastAsia"/>
                <w:b w:val="0"/>
                <w:bCs w:val="0"/>
                <w:color w:val="auto"/>
              </w:rPr>
              <w:t>负责</w:t>
            </w:r>
            <w:r>
              <w:rPr>
                <w:b w:val="0"/>
                <w:bCs w:val="0"/>
                <w:color w:val="auto"/>
              </w:rPr>
              <w:t>老年健康管理和医养结合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22" w:type="dxa"/>
            <w:vAlign w:val="center"/>
          </w:tcPr>
          <w:p>
            <w:pPr>
              <w:pStyle w:val="44"/>
              <w:spacing w:line="560" w:lineRule="exact"/>
              <w:rPr>
                <w:color w:val="auto"/>
              </w:rPr>
            </w:pPr>
            <w:r>
              <w:rPr>
                <w:color w:val="auto"/>
              </w:rPr>
              <w:t>商务部门</w:t>
            </w:r>
          </w:p>
        </w:tc>
        <w:tc>
          <w:tcPr>
            <w:tcW w:w="4558" w:type="dxa"/>
            <w:vAlign w:val="center"/>
          </w:tcPr>
          <w:p>
            <w:pPr>
              <w:pStyle w:val="44"/>
              <w:spacing w:line="560" w:lineRule="exact"/>
              <w:jc w:val="left"/>
              <w:rPr>
                <w:b w:val="0"/>
                <w:bCs w:val="0"/>
                <w:color w:val="auto"/>
              </w:rPr>
            </w:pPr>
            <w:r>
              <w:rPr>
                <w:b w:val="0"/>
                <w:bCs w:val="0"/>
                <w:color w:val="auto"/>
              </w:rPr>
              <w:t>扶持培育养老服务龙头企业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22" w:type="dxa"/>
            <w:vAlign w:val="center"/>
          </w:tcPr>
          <w:p>
            <w:pPr>
              <w:pStyle w:val="44"/>
              <w:spacing w:line="560" w:lineRule="exact"/>
              <w:rPr>
                <w:color w:val="auto"/>
              </w:rPr>
            </w:pPr>
            <w:r>
              <w:rPr>
                <w:color w:val="auto"/>
              </w:rPr>
              <w:t>工信部门</w:t>
            </w:r>
          </w:p>
        </w:tc>
        <w:tc>
          <w:tcPr>
            <w:tcW w:w="4558" w:type="dxa"/>
            <w:vAlign w:val="center"/>
          </w:tcPr>
          <w:p>
            <w:pPr>
              <w:pStyle w:val="44"/>
              <w:spacing w:line="560" w:lineRule="exact"/>
              <w:jc w:val="left"/>
              <w:rPr>
                <w:b w:val="0"/>
                <w:bCs w:val="0"/>
                <w:color w:val="auto"/>
              </w:rPr>
            </w:pPr>
            <w:r>
              <w:rPr>
                <w:b w:val="0"/>
                <w:bCs w:val="0"/>
                <w:color w:val="auto"/>
              </w:rPr>
              <w:t>支持养老服务装备制造和信息服务平台建设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22" w:type="dxa"/>
            <w:vAlign w:val="center"/>
          </w:tcPr>
          <w:p>
            <w:pPr>
              <w:pStyle w:val="44"/>
              <w:spacing w:line="560" w:lineRule="exact"/>
              <w:jc w:val="both"/>
              <w:rPr>
                <w:color w:val="auto"/>
              </w:rPr>
            </w:pPr>
            <w:r>
              <w:rPr>
                <w:color w:val="auto"/>
              </w:rPr>
              <w:t>教育、人社、环保、税务、统计、金融、市场监管、安监、食品药品监管等部门</w:t>
            </w:r>
          </w:p>
        </w:tc>
        <w:tc>
          <w:tcPr>
            <w:tcW w:w="4558" w:type="dxa"/>
            <w:vAlign w:val="center"/>
          </w:tcPr>
          <w:p>
            <w:pPr>
              <w:pStyle w:val="44"/>
              <w:spacing w:line="560" w:lineRule="exact"/>
              <w:jc w:val="left"/>
              <w:rPr>
                <w:b w:val="0"/>
                <w:bCs w:val="0"/>
                <w:color w:val="auto"/>
              </w:rPr>
            </w:pPr>
            <w:r>
              <w:rPr>
                <w:b w:val="0"/>
                <w:bCs w:val="0"/>
                <w:color w:val="auto"/>
              </w:rPr>
              <w:t>按职责分工负责</w:t>
            </w:r>
          </w:p>
        </w:tc>
      </w:tr>
    </w:tbl>
    <w:p>
      <w:pPr>
        <w:pStyle w:val="2"/>
        <w:spacing w:after="411" w:line="560" w:lineRule="exact"/>
        <w:rPr>
          <w:color w:val="auto"/>
        </w:rPr>
      </w:pPr>
      <w:bookmarkStart w:id="516" w:name="_Toc20350_WPSOffice_Level1"/>
      <w:bookmarkStart w:id="517" w:name="_Toc15850"/>
      <w:bookmarkStart w:id="518" w:name="_Toc15176"/>
      <w:bookmarkStart w:id="519" w:name="_Toc31221"/>
      <w:bookmarkStart w:id="520" w:name="_Toc19199"/>
      <w:bookmarkStart w:id="521" w:name="_Toc29765"/>
      <w:bookmarkStart w:id="522" w:name="_Toc3766_WPSOffice_Level1"/>
      <w:bookmarkStart w:id="523" w:name="_Toc16334"/>
      <w:bookmarkStart w:id="524" w:name="_Toc40085582"/>
    </w:p>
    <w:bookmarkEnd w:id="516"/>
    <w:bookmarkEnd w:id="517"/>
    <w:bookmarkEnd w:id="518"/>
    <w:bookmarkEnd w:id="519"/>
    <w:bookmarkEnd w:id="520"/>
    <w:bookmarkEnd w:id="521"/>
    <w:bookmarkEnd w:id="522"/>
    <w:bookmarkEnd w:id="523"/>
    <w:bookmarkEnd w:id="524"/>
    <w:p>
      <w:pPr>
        <w:spacing w:line="560" w:lineRule="exact"/>
        <w:ind w:left="0" w:leftChars="0" w:firstLine="0" w:firstLineChars="0"/>
        <w:rPr>
          <w:color w:val="auto"/>
        </w:rPr>
      </w:pPr>
      <w:bookmarkStart w:id="525" w:name="_Toc2945_WPSOffice_Level1"/>
      <w:r>
        <w:rPr>
          <w:rFonts w:hint="eastAsia"/>
          <w:color w:val="auto"/>
        </w:rPr>
        <w:br w:type="page"/>
      </w:r>
    </w:p>
    <w:bookmarkEnd w:id="525"/>
    <w:p>
      <w:pPr>
        <w:keepNext/>
        <w:keepLines/>
        <w:widowControl w:val="0"/>
        <w:spacing w:after="312" w:afterLines="100" w:line="264" w:lineRule="auto"/>
        <w:ind w:firstLine="0" w:firstLineChars="0"/>
        <w:jc w:val="center"/>
        <w:outlineLvl w:val="0"/>
        <w:rPr>
          <w:rFonts w:ascii="黑体" w:hAnsi="黑体" w:eastAsia="黑体" w:cs="Times New Roman"/>
          <w:b w:val="0"/>
          <w:bCs w:val="0"/>
          <w:color w:val="auto"/>
          <w:kern w:val="44"/>
          <w:sz w:val="44"/>
          <w:szCs w:val="44"/>
          <w:lang w:val="en-US" w:eastAsia="zh-CN" w:bidi="ar-SA"/>
        </w:rPr>
      </w:pPr>
      <w:bookmarkStart w:id="526" w:name="_Toc16738"/>
      <w:bookmarkStart w:id="527" w:name="_Toc14722"/>
      <w:bookmarkStart w:id="528" w:name="_Toc4546"/>
      <w:bookmarkStart w:id="529" w:name="_Toc26396"/>
      <w:bookmarkStart w:id="530" w:name="_Toc27724"/>
      <w:bookmarkStart w:id="531" w:name="_Toc11707"/>
      <w:bookmarkStart w:id="532" w:name="_Toc21236"/>
      <w:bookmarkStart w:id="533" w:name="_Toc397490993"/>
      <w:r>
        <w:rPr>
          <w:rFonts w:hint="eastAsia" w:ascii="华文中宋" w:hAnsi="华文中宋" w:eastAsia="黑体" w:cs="Times New Roman"/>
          <w:b w:val="0"/>
          <w:bCs/>
          <w:color w:val="auto"/>
          <w:kern w:val="44"/>
          <w:sz w:val="44"/>
          <w:szCs w:val="44"/>
          <w:lang w:val="en-US" w:eastAsia="zh-CN" w:bidi="ar-SA"/>
        </w:rPr>
        <w:t>※</w:t>
      </w:r>
      <w:r>
        <w:rPr>
          <w:rFonts w:hint="eastAsia" w:ascii="黑体" w:hAnsi="黑体" w:eastAsia="黑体" w:cs="Times New Roman"/>
          <w:b w:val="0"/>
          <w:bCs/>
          <w:color w:val="auto"/>
          <w:kern w:val="44"/>
          <w:sz w:val="44"/>
          <w:szCs w:val="44"/>
          <w:lang w:val="en-US" w:eastAsia="zh-CN" w:bidi="ar-SA"/>
        </w:rPr>
        <w:t>名词概念定义及指标计算依据</w:t>
      </w:r>
      <w:bookmarkEnd w:id="526"/>
      <w:bookmarkEnd w:id="527"/>
      <w:bookmarkEnd w:id="528"/>
      <w:bookmarkEnd w:id="529"/>
      <w:bookmarkEnd w:id="530"/>
      <w:bookmarkEnd w:id="531"/>
      <w:bookmarkEnd w:id="532"/>
      <w:bookmarkEnd w:id="533"/>
    </w:p>
    <w:p>
      <w:pPr>
        <w:ind w:firstLine="600"/>
        <w:rPr>
          <w:rFonts w:ascii="仿宋_GB2312" w:eastAsia="仿宋_GB2312"/>
          <w:color w:val="auto"/>
        </w:rPr>
      </w:pPr>
      <w:r>
        <w:rPr>
          <w:rFonts w:hint="eastAsia" w:ascii="仿宋_GB2312" w:eastAsia="仿宋_GB2312"/>
          <w:color w:val="auto"/>
        </w:rPr>
        <w:t>【按】《北京市养老服务专项规划（2021年-2035年）》（以下简称《规划》）是全市未来养老服务改革与发展规划蓝图，是指导北京市养老服务发展的重要依据。为强化《规划》的权威性、指导性和操作性，《规划》编制组就文本中的有关术语、名词、指标数据等进行了界定和计算，基础数据截至2018年底，供参考。</w:t>
      </w:r>
    </w:p>
    <w:p>
      <w:pPr>
        <w:keepNext/>
        <w:keepLines/>
        <w:widowControl w:val="0"/>
        <w:spacing w:before="156" w:beforeLines="50" w:after="156" w:afterLines="50" w:line="264" w:lineRule="auto"/>
        <w:ind w:firstLine="0" w:firstLineChars="0"/>
        <w:jc w:val="both"/>
        <w:outlineLvl w:val="2"/>
        <w:rPr>
          <w:rFonts w:ascii="仿宋_GB2312" w:hAnsi="Times New Roman" w:eastAsia="仿宋_GB2312" w:cs="Times New Roman"/>
          <w:b/>
          <w:bCs/>
          <w:color w:val="auto"/>
          <w:kern w:val="2"/>
          <w:sz w:val="32"/>
          <w:szCs w:val="32"/>
          <w:lang w:val="en-US" w:eastAsia="zh-CN" w:bidi="ar-SA"/>
        </w:rPr>
      </w:pPr>
      <w:bookmarkStart w:id="534" w:name="_Toc12225_WPSOffice_Level1"/>
      <w:bookmarkStart w:id="535" w:name="_Toc18444_WPSOffice_Level1"/>
      <w:bookmarkStart w:id="536" w:name="_Toc7178_WPSOffice_Level1"/>
      <w:bookmarkStart w:id="537" w:name="_Toc31644_WPSOffice_Level1"/>
      <w:bookmarkStart w:id="538" w:name="_Toc594_WPSOffice_Level1"/>
      <w:bookmarkStart w:id="539" w:name="_Toc11838561"/>
      <w:r>
        <w:rPr>
          <w:rFonts w:hint="eastAsia" w:ascii="仿宋_GB2312" w:hAnsi="Times New Roman" w:eastAsia="仿宋_GB2312" w:cs="Times New Roman"/>
          <w:b/>
          <w:bCs/>
          <w:color w:val="auto"/>
          <w:kern w:val="2"/>
          <w:sz w:val="32"/>
          <w:szCs w:val="32"/>
          <w:lang w:val="en-US" w:eastAsia="zh-CN" w:bidi="ar-SA"/>
        </w:rPr>
        <w:t>1．养老服务体系</w:t>
      </w:r>
      <w:bookmarkEnd w:id="534"/>
      <w:bookmarkEnd w:id="535"/>
      <w:bookmarkEnd w:id="536"/>
      <w:bookmarkEnd w:id="537"/>
      <w:bookmarkEnd w:id="538"/>
      <w:bookmarkEnd w:id="539"/>
    </w:p>
    <w:p>
      <w:pPr>
        <w:ind w:firstLine="600"/>
        <w:rPr>
          <w:rFonts w:ascii="仿宋_GB2312" w:eastAsia="仿宋_GB2312"/>
          <w:color w:val="auto"/>
        </w:rPr>
      </w:pPr>
      <w:r>
        <w:rPr>
          <w:rFonts w:hint="eastAsia" w:ascii="仿宋_GB2312" w:eastAsia="仿宋_GB2312"/>
          <w:color w:val="auto"/>
        </w:rPr>
        <w:t>养老服务体系是老年人在生活中获得全方位养老服务支持的系统。其中制度、设施、标准、补贴、队伍等各要素相互支撑互为补充，并与经济和社会发展水平相适应，以满足老年人基本生活需求。以服务标准、运行机制和监督制度为支撑，最终实现养老服务通过政府引导、市场主导、社会参与，由服务主体精准传递给老年人的目标。</w:t>
      </w:r>
    </w:p>
    <w:p>
      <w:pPr>
        <w:ind w:firstLine="600"/>
        <w:rPr>
          <w:rFonts w:ascii="仿宋_GB2312" w:eastAsia="仿宋_GB2312"/>
          <w:bCs/>
          <w:color w:val="auto"/>
        </w:rPr>
      </w:pPr>
      <w:r>
        <w:rPr>
          <w:rFonts w:hint="eastAsia" w:ascii="仿宋_GB2312" w:eastAsia="仿宋_GB2312"/>
          <w:color w:val="auto"/>
        </w:rPr>
        <w:t>养老服务体系包括为</w:t>
      </w:r>
      <w:r>
        <w:rPr>
          <w:rFonts w:hint="eastAsia" w:ascii="仿宋_GB2312" w:eastAsia="仿宋_GB2312"/>
          <w:bCs/>
          <w:color w:val="auto"/>
        </w:rPr>
        <w:t>老年人提供必要的生活服务，</w:t>
      </w:r>
      <w:bookmarkStart w:id="540" w:name="_Hlk10194270"/>
      <w:r>
        <w:rPr>
          <w:rFonts w:hint="eastAsia" w:ascii="仿宋_GB2312" w:eastAsia="仿宋_GB2312"/>
          <w:bCs/>
          <w:color w:val="auto"/>
        </w:rPr>
        <w:t>满足其物质生活和精神生活的基本需求</w:t>
      </w:r>
      <w:bookmarkEnd w:id="540"/>
      <w:r>
        <w:rPr>
          <w:rFonts w:hint="eastAsia" w:ascii="仿宋_GB2312" w:eastAsia="仿宋_GB2312"/>
          <w:bCs/>
          <w:color w:val="auto"/>
        </w:rPr>
        <w:t>；为老年人及其家属提供必要的辅助服务，满足家庭养老的可持续性；为提供养老的社会力量提供技术服务，满足社会养老的个性化需求；为政府提供精准的信息服务，保障老年人物质和精神生活需求。</w:t>
      </w:r>
    </w:p>
    <w:p>
      <w:pPr>
        <w:ind w:firstLine="600"/>
        <w:rPr>
          <w:rFonts w:ascii="仿宋_GB2312" w:eastAsia="仿宋_GB2312"/>
          <w:color w:val="auto"/>
        </w:rPr>
      </w:pPr>
      <w:r>
        <w:rPr>
          <w:rFonts w:hint="eastAsia" w:ascii="仿宋_GB2312" w:eastAsia="仿宋_GB2312" w:cs="Times New Roman"/>
          <w:color w:val="auto"/>
        </w:rPr>
        <w:t>本规划的养老服务体系以居家社区机构相协调，医养康养相结合的多样供给为基础，发展全面覆盖、城乡统筹且独具北京特色的大城市养老服务体系为目标，发展面向居家的养老服务，完善“9064”养老服务格局和“三边四级”养老服务布局，最终建设就近精准的居家养老服务体系，形成切合北京特色的多层次养老服务体系。</w:t>
      </w:r>
    </w:p>
    <w:p>
      <w:pPr>
        <w:keepNext/>
        <w:keepLines/>
        <w:widowControl w:val="0"/>
        <w:spacing w:before="156" w:beforeLines="50" w:after="156" w:afterLines="50" w:line="264" w:lineRule="auto"/>
        <w:ind w:firstLine="0" w:firstLineChars="0"/>
        <w:jc w:val="both"/>
        <w:outlineLvl w:val="2"/>
        <w:rPr>
          <w:rFonts w:ascii="仿宋_GB2312" w:hAnsi="Times New Roman" w:eastAsia="仿宋_GB2312" w:cs="Times New Roman"/>
          <w:b/>
          <w:bCs/>
          <w:color w:val="auto"/>
          <w:kern w:val="2"/>
          <w:sz w:val="32"/>
          <w:szCs w:val="32"/>
          <w:lang w:val="en-US" w:eastAsia="zh-CN" w:bidi="ar-SA"/>
        </w:rPr>
      </w:pPr>
      <w:bookmarkStart w:id="541" w:name="_Toc6198_WPSOffice_Level1"/>
      <w:bookmarkStart w:id="542" w:name="_Toc16748_WPSOffice_Level1"/>
      <w:bookmarkStart w:id="543" w:name="_Toc1640_WPSOffice_Level1"/>
      <w:bookmarkStart w:id="544" w:name="_Toc11838562"/>
      <w:bookmarkStart w:id="545" w:name="_Toc15551_WPSOffice_Level1"/>
      <w:bookmarkStart w:id="546" w:name="_Toc6487_WPSOffice_Level1"/>
      <w:r>
        <w:rPr>
          <w:rFonts w:hint="eastAsia" w:ascii="仿宋_GB2312" w:hAnsi="Times New Roman" w:eastAsia="仿宋_GB2312" w:cs="Times New Roman"/>
          <w:b/>
          <w:bCs/>
          <w:color w:val="auto"/>
          <w:kern w:val="2"/>
          <w:sz w:val="32"/>
          <w:szCs w:val="32"/>
          <w:lang w:val="en-US" w:eastAsia="zh-CN" w:bidi="ar-SA"/>
        </w:rPr>
        <w:t>2．养老服务</w:t>
      </w:r>
      <w:bookmarkEnd w:id="541"/>
      <w:bookmarkEnd w:id="542"/>
      <w:bookmarkEnd w:id="543"/>
      <w:bookmarkEnd w:id="544"/>
      <w:bookmarkEnd w:id="545"/>
      <w:bookmarkEnd w:id="546"/>
      <w:r>
        <w:rPr>
          <w:rFonts w:hint="eastAsia" w:ascii="仿宋_GB2312" w:hAnsi="Times New Roman" w:eastAsia="仿宋_GB2312" w:cs="Times New Roman"/>
          <w:b/>
          <w:bCs/>
          <w:color w:val="auto"/>
          <w:kern w:val="2"/>
          <w:sz w:val="32"/>
          <w:szCs w:val="32"/>
          <w:lang w:val="en-US" w:eastAsia="zh-CN" w:bidi="ar-SA"/>
        </w:rPr>
        <w:t>内涵与外延</w:t>
      </w:r>
    </w:p>
    <w:p>
      <w:pPr>
        <w:keepNext/>
        <w:keepLines/>
        <w:widowControl w:val="0"/>
        <w:spacing w:before="156" w:beforeLines="50" w:after="156" w:afterLines="50" w:line="264" w:lineRule="auto"/>
        <w:ind w:firstLine="602" w:firstLineChars="200"/>
        <w:jc w:val="both"/>
        <w:outlineLvl w:val="3"/>
        <w:rPr>
          <w:rFonts w:ascii="仿宋_GB2312" w:hAnsi="仿宋" w:eastAsia="仿宋_GB2312" w:cs="Times New Roman"/>
          <w:b/>
          <w:bCs/>
          <w:color w:val="auto"/>
          <w:kern w:val="2"/>
          <w:sz w:val="30"/>
          <w:szCs w:val="28"/>
          <w:lang w:val="en-US" w:eastAsia="zh-CN" w:bidi="ar-SA"/>
        </w:rPr>
      </w:pPr>
      <w:bookmarkStart w:id="547" w:name="_Toc25706_WPSOffice_Level2"/>
      <w:bookmarkStart w:id="548" w:name="_Toc22006_WPSOffice_Level2"/>
      <w:bookmarkStart w:id="549" w:name="_Toc8440_WPSOffice_Level2"/>
      <w:bookmarkStart w:id="550" w:name="_Toc21320_WPSOffice_Level2"/>
      <w:bookmarkStart w:id="551" w:name="_Toc21697_WPSOffice_Level2"/>
      <w:bookmarkStart w:id="552" w:name="_Toc11838563"/>
      <w:r>
        <w:rPr>
          <w:rFonts w:hint="eastAsia" w:ascii="仿宋_GB2312" w:hAnsi="仿宋" w:eastAsia="仿宋_GB2312" w:cs="Times New Roman"/>
          <w:b/>
          <w:bCs/>
          <w:color w:val="auto"/>
          <w:kern w:val="2"/>
          <w:sz w:val="30"/>
          <w:szCs w:val="28"/>
          <w:lang w:val="en-US" w:eastAsia="zh-CN" w:bidi="ar-SA"/>
        </w:rPr>
        <w:t>2.1养老服务</w:t>
      </w:r>
      <w:bookmarkEnd w:id="547"/>
      <w:bookmarkEnd w:id="548"/>
      <w:bookmarkEnd w:id="549"/>
      <w:bookmarkEnd w:id="550"/>
      <w:bookmarkEnd w:id="551"/>
      <w:bookmarkEnd w:id="552"/>
    </w:p>
    <w:p>
      <w:pPr>
        <w:keepNext/>
        <w:keepLines/>
        <w:widowControl w:val="0"/>
        <w:spacing w:before="156" w:beforeLines="50" w:after="156" w:afterLines="50" w:line="264" w:lineRule="auto"/>
        <w:ind w:firstLine="600" w:firstLineChars="200"/>
        <w:jc w:val="both"/>
        <w:outlineLvl w:val="3"/>
        <w:rPr>
          <w:rFonts w:ascii="仿宋_GB2312" w:hAnsi="仿宋" w:eastAsia="仿宋_GB2312" w:cs="Times New Roman"/>
          <w:b w:val="0"/>
          <w:bCs w:val="0"/>
          <w:color w:val="auto"/>
          <w:kern w:val="2"/>
          <w:sz w:val="30"/>
          <w:szCs w:val="30"/>
          <w:lang w:val="en-US" w:eastAsia="zh-CN" w:bidi="ar-SA"/>
        </w:rPr>
      </w:pPr>
      <w:bookmarkStart w:id="553" w:name="_Toc23107_WPSOffice_Level2"/>
      <w:bookmarkStart w:id="554" w:name="_Toc2896_WPSOffice_Level2"/>
      <w:bookmarkStart w:id="555" w:name="_Toc11838564"/>
      <w:bookmarkStart w:id="556" w:name="_Toc30889_WPSOffice_Level2"/>
      <w:bookmarkStart w:id="557" w:name="_Toc31037_WPSOffice_Level2"/>
      <w:bookmarkStart w:id="558" w:name="_Toc12985_WPSOffice_Level2"/>
      <w:r>
        <w:rPr>
          <w:rFonts w:hint="eastAsia" w:ascii="仿宋_GB2312" w:hAnsi="仿宋" w:eastAsia="仿宋_GB2312" w:cs="Times New Roman"/>
          <w:b w:val="0"/>
          <w:bCs w:val="0"/>
          <w:color w:val="auto"/>
          <w:kern w:val="2"/>
          <w:sz w:val="30"/>
          <w:szCs w:val="30"/>
          <w:lang w:val="en-US" w:eastAsia="zh-CN" w:bidi="ar-SA"/>
        </w:rPr>
        <w:t>本规划中的养老服务是指基于老年人因年龄增长导致的生理和心理机能退化或丧失而产生的，依赖他人提供的帮助或服务。针对老年人不同层次的需求可以分为基本养老服务和非基本养老服务。</w:t>
      </w:r>
    </w:p>
    <w:p>
      <w:pPr>
        <w:keepNext/>
        <w:keepLines/>
        <w:widowControl w:val="0"/>
        <w:spacing w:before="156" w:beforeLines="50" w:after="156" w:afterLines="50" w:line="264" w:lineRule="auto"/>
        <w:ind w:firstLine="602" w:firstLineChars="200"/>
        <w:jc w:val="both"/>
        <w:outlineLvl w:val="3"/>
        <w:rPr>
          <w:rFonts w:ascii="仿宋_GB2312" w:hAnsi="仿宋" w:eastAsia="仿宋_GB2312" w:cs="Times New Roman"/>
          <w:b/>
          <w:bCs/>
          <w:color w:val="auto"/>
          <w:kern w:val="2"/>
          <w:sz w:val="30"/>
          <w:szCs w:val="28"/>
          <w:lang w:val="en-US" w:eastAsia="zh-CN" w:bidi="ar-SA"/>
        </w:rPr>
      </w:pPr>
      <w:r>
        <w:rPr>
          <w:rFonts w:hint="eastAsia" w:ascii="仿宋_GB2312" w:hAnsi="仿宋" w:eastAsia="仿宋_GB2312" w:cs="Times New Roman"/>
          <w:b/>
          <w:bCs/>
          <w:color w:val="auto"/>
          <w:kern w:val="2"/>
          <w:sz w:val="30"/>
          <w:szCs w:val="28"/>
          <w:lang w:val="en-US" w:eastAsia="zh-CN" w:bidi="ar-SA"/>
        </w:rPr>
        <w:t>2.2基本养老服务</w:t>
      </w:r>
      <w:bookmarkEnd w:id="553"/>
      <w:bookmarkEnd w:id="554"/>
      <w:bookmarkEnd w:id="555"/>
      <w:bookmarkEnd w:id="556"/>
      <w:bookmarkEnd w:id="557"/>
      <w:bookmarkEnd w:id="558"/>
    </w:p>
    <w:p>
      <w:pPr>
        <w:ind w:firstLine="600"/>
        <w:rPr>
          <w:rFonts w:ascii="仿宋_GB2312" w:eastAsia="仿宋_GB2312" w:cs="Times New Roman"/>
          <w:color w:val="auto"/>
          <w:szCs w:val="30"/>
        </w:rPr>
      </w:pPr>
      <w:r>
        <w:rPr>
          <w:rFonts w:hint="eastAsia" w:ascii="仿宋_GB2312" w:eastAsia="仿宋_GB2312"/>
          <w:color w:val="auto"/>
          <w:szCs w:val="30"/>
        </w:rPr>
        <w:t>基本养老服务具有公益性，其性质是基本社会服务和基本养老保障。包括</w:t>
      </w:r>
      <w:r>
        <w:rPr>
          <w:rFonts w:hint="eastAsia" w:ascii="仿宋_GB2312" w:eastAsia="仿宋_GB2312" w:cs="Times New Roman"/>
          <w:color w:val="auto"/>
          <w:szCs w:val="30"/>
        </w:rPr>
        <w:t>政府和社会为保障全体老年人基本生活所提供的，与所在区域社会经济发展水平相适应、面向所有老年人提供的，具有可及性和可得性的助餐、助洁、助浴、助急、助医、助行等生活照料服务，以及生活康复、精神慰藉、社会参与等各项养老服务。</w:t>
      </w:r>
    </w:p>
    <w:p>
      <w:pPr>
        <w:ind w:firstLine="600"/>
        <w:rPr>
          <w:rFonts w:ascii="仿宋_GB2312" w:eastAsia="仿宋_GB2312" w:cs="Times New Roman"/>
          <w:color w:val="auto"/>
          <w:szCs w:val="30"/>
        </w:rPr>
      </w:pPr>
      <w:r>
        <w:rPr>
          <w:rFonts w:hint="eastAsia" w:ascii="仿宋_GB2312" w:eastAsia="仿宋_GB2312"/>
          <w:color w:val="auto"/>
          <w:szCs w:val="30"/>
        </w:rPr>
        <w:t>基本养老服务的服务对象以</w:t>
      </w:r>
      <w:r>
        <w:rPr>
          <w:rFonts w:hint="eastAsia" w:ascii="仿宋_GB2312" w:eastAsia="仿宋_GB2312" w:cs="Times New Roman"/>
          <w:color w:val="auto"/>
          <w:szCs w:val="30"/>
        </w:rPr>
        <w:t>经济困难的残疾、高龄、失能、低收入、计划生育特殊家庭等困难老年人群为重点</w:t>
      </w:r>
      <w:r>
        <w:rPr>
          <w:rFonts w:hint="eastAsia" w:ascii="仿宋_GB2312" w:eastAsia="仿宋_GB2312"/>
          <w:color w:val="auto"/>
          <w:szCs w:val="30"/>
        </w:rPr>
        <w:t>，主要为其提供</w:t>
      </w:r>
      <w:r>
        <w:rPr>
          <w:rFonts w:hint="eastAsia" w:ascii="仿宋_GB2312" w:eastAsia="仿宋_GB2312" w:cs="Times New Roman"/>
          <w:color w:val="auto"/>
          <w:szCs w:val="30"/>
        </w:rPr>
        <w:t>政府兜底的基本生活照料保障及长期照护服务。</w:t>
      </w:r>
    </w:p>
    <w:p>
      <w:pPr>
        <w:pStyle w:val="45"/>
        <w:wordWrap w:val="0"/>
        <w:autoSpaceDE w:val="0"/>
        <w:autoSpaceDN w:val="0"/>
        <w:ind w:firstLine="600"/>
        <w:rPr>
          <w:rFonts w:ascii="仿宋_GB2312" w:eastAsia="仿宋_GB2312"/>
          <w:color w:val="auto"/>
        </w:rPr>
      </w:pPr>
      <w:r>
        <w:rPr>
          <w:rFonts w:hint="eastAsia" w:ascii="仿宋_GB2312" w:hAnsi="黑体" w:eastAsia="仿宋_GB2312"/>
          <w:color w:val="auto"/>
        </w:rPr>
        <w:t>——</w:t>
      </w:r>
      <w:r>
        <w:rPr>
          <w:rFonts w:hint="eastAsia" w:ascii="仿宋_GB2312" w:eastAsia="仿宋_GB2312"/>
          <w:color w:val="auto"/>
        </w:rPr>
        <w:t>依据国务院关于印发《国家基本公共服务体系“十二五”规划》的通知（国发〔2012〕29号）中对基本养老服务的重点发展是“适应人口老龄化趋势，有条件的地方可发放高龄老年人生活补贴和家庭经济困难的老年人养老服务补贴。将符合条件的农村老年人全部纳入农村五保供养范围，实行分散供养与集中供养相结合，适度提高供养标准。建立健全养老服务体系，鼓励居家养老，拓展社区养老服务功能，增强公益性养老服务机构服务能力，鼓励通过公建民营、民办公助等方式引导社会资本参与养老服务机构建设和管理运行”。这其中明确了基本养老服务包含养老服务体系、居家养老、社区养老、公益性机构养老。</w:t>
      </w:r>
    </w:p>
    <w:p>
      <w:pPr>
        <w:pStyle w:val="45"/>
        <w:wordWrap w:val="0"/>
        <w:autoSpaceDE w:val="0"/>
        <w:autoSpaceDN w:val="0"/>
        <w:ind w:firstLine="600"/>
        <w:rPr>
          <w:rFonts w:ascii="仿宋_GB2312" w:eastAsia="仿宋_GB2312"/>
          <w:color w:val="auto"/>
        </w:rPr>
      </w:pPr>
      <w:r>
        <w:rPr>
          <w:rFonts w:hint="eastAsia" w:ascii="仿宋_GB2312" w:eastAsia="仿宋_GB2312"/>
          <w:color w:val="auto"/>
        </w:rPr>
        <w:t>《关于做好政府购买养老服务工作的通知》（财社〔2014〕105号）“以老年人基本养老服务需求为导向，将政府购买服务与满足老年人基本养老服务需求相结合，重点安排与老年人生活照料、康复护理等密切相关的项目，优先保障经济困难的孤寡、失能、高龄等老年人的服务需求，加大对基层和农村养老服务的支持，并逐步拓展政府购买养老服务的领域和范围”。这其中明确了基本养老服务包含老年人生活照料和康复护理等。</w:t>
      </w:r>
    </w:p>
    <w:p>
      <w:pPr>
        <w:keepNext/>
        <w:keepLines/>
        <w:widowControl w:val="0"/>
        <w:spacing w:before="156" w:beforeLines="50" w:after="156" w:afterLines="50" w:line="264" w:lineRule="auto"/>
        <w:ind w:firstLine="602" w:firstLineChars="200"/>
        <w:jc w:val="both"/>
        <w:outlineLvl w:val="3"/>
        <w:rPr>
          <w:rFonts w:ascii="仿宋_GB2312" w:hAnsi="仿宋" w:eastAsia="仿宋_GB2312" w:cs="Times New Roman"/>
          <w:b/>
          <w:bCs/>
          <w:color w:val="auto"/>
          <w:kern w:val="2"/>
          <w:sz w:val="30"/>
          <w:szCs w:val="28"/>
          <w:lang w:val="en-US" w:eastAsia="zh-CN" w:bidi="ar-SA"/>
        </w:rPr>
      </w:pPr>
      <w:bookmarkStart w:id="559" w:name="_Toc28789_WPSOffice_Level2"/>
      <w:bookmarkStart w:id="560" w:name="_Toc25656_WPSOffice_Level2"/>
      <w:bookmarkStart w:id="561" w:name="_Toc5940_WPSOffice_Level2"/>
      <w:bookmarkStart w:id="562" w:name="_Toc31003_WPSOffice_Level2"/>
      <w:bookmarkStart w:id="563" w:name="_Toc31894_WPSOffice_Level2"/>
      <w:bookmarkStart w:id="564" w:name="_Toc11838565"/>
      <w:r>
        <w:rPr>
          <w:rFonts w:hint="eastAsia" w:ascii="仿宋_GB2312" w:hAnsi="仿宋" w:eastAsia="仿宋_GB2312" w:cs="Times New Roman"/>
          <w:b/>
          <w:bCs/>
          <w:color w:val="auto"/>
          <w:kern w:val="2"/>
          <w:sz w:val="30"/>
          <w:szCs w:val="28"/>
          <w:lang w:val="en-US" w:eastAsia="zh-CN" w:bidi="ar-SA"/>
        </w:rPr>
        <w:t>2.3非基本养老服务</w:t>
      </w:r>
      <w:bookmarkEnd w:id="559"/>
      <w:bookmarkEnd w:id="560"/>
      <w:bookmarkEnd w:id="561"/>
      <w:bookmarkEnd w:id="562"/>
      <w:bookmarkEnd w:id="563"/>
      <w:bookmarkEnd w:id="564"/>
    </w:p>
    <w:p>
      <w:pPr>
        <w:ind w:firstLine="600"/>
        <w:rPr>
          <w:rFonts w:ascii="仿宋_GB2312" w:eastAsia="仿宋_GB2312" w:cs="Times New Roman"/>
          <w:color w:val="auto"/>
          <w:szCs w:val="30"/>
        </w:rPr>
      </w:pPr>
      <w:bookmarkStart w:id="565" w:name="_Hlk39760177"/>
      <w:r>
        <w:rPr>
          <w:rFonts w:hint="eastAsia" w:ascii="仿宋_GB2312" w:eastAsia="仿宋_GB2312"/>
          <w:color w:val="auto"/>
          <w:szCs w:val="30"/>
        </w:rPr>
        <w:t>非基本养老服务是指</w:t>
      </w:r>
      <w:r>
        <w:rPr>
          <w:rFonts w:hint="eastAsia" w:ascii="仿宋_GB2312" w:eastAsia="仿宋_GB2312" w:cs="Times New Roman"/>
          <w:color w:val="auto"/>
          <w:szCs w:val="30"/>
        </w:rPr>
        <w:t>社会、企业、个人为具有需求的老年人提高生活质量所提供超过基本养老服务范围或水平以上的各项服务，以满足老年人多样化、差异化、个性化的养老需求。</w:t>
      </w:r>
    </w:p>
    <w:bookmarkEnd w:id="565"/>
    <w:p>
      <w:pPr>
        <w:keepNext/>
        <w:keepLines/>
        <w:widowControl w:val="0"/>
        <w:spacing w:before="156" w:beforeLines="50" w:after="156" w:afterLines="50" w:line="264" w:lineRule="auto"/>
        <w:ind w:firstLine="0" w:firstLineChars="0"/>
        <w:jc w:val="both"/>
        <w:outlineLvl w:val="2"/>
        <w:rPr>
          <w:rFonts w:ascii="仿宋_GB2312" w:hAnsi="Times New Roman" w:eastAsia="仿宋_GB2312" w:cs="Times New Roman"/>
          <w:b/>
          <w:bCs/>
          <w:color w:val="auto"/>
          <w:kern w:val="2"/>
          <w:sz w:val="32"/>
          <w:szCs w:val="32"/>
          <w:lang w:val="en-US" w:eastAsia="zh-CN" w:bidi="ar-SA"/>
        </w:rPr>
      </w:pPr>
      <w:bookmarkStart w:id="566" w:name="_Toc11838566"/>
      <w:bookmarkStart w:id="567" w:name="_Toc2487_WPSOffice_Level1"/>
      <w:bookmarkStart w:id="568" w:name="_Toc13402_WPSOffice_Level1"/>
      <w:bookmarkStart w:id="569" w:name="_Toc16985_WPSOffice_Level1"/>
      <w:bookmarkStart w:id="570" w:name="_Toc8371_WPSOffice_Level1"/>
      <w:bookmarkStart w:id="571" w:name="_Toc7979_WPSOffice_Level1"/>
      <w:r>
        <w:rPr>
          <w:rFonts w:hint="eastAsia" w:ascii="仿宋_GB2312" w:hAnsi="Times New Roman" w:eastAsia="仿宋_GB2312" w:cs="Times New Roman"/>
          <w:b/>
          <w:bCs/>
          <w:color w:val="auto"/>
          <w:kern w:val="2"/>
          <w:sz w:val="32"/>
          <w:szCs w:val="32"/>
          <w:lang w:val="en-US" w:eastAsia="zh-CN" w:bidi="ar-SA"/>
        </w:rPr>
        <w:t>3．养老服务设施</w:t>
      </w:r>
      <w:bookmarkEnd w:id="566"/>
      <w:bookmarkEnd w:id="567"/>
      <w:bookmarkEnd w:id="568"/>
      <w:bookmarkEnd w:id="569"/>
      <w:bookmarkEnd w:id="570"/>
      <w:bookmarkEnd w:id="571"/>
    </w:p>
    <w:p>
      <w:pPr>
        <w:ind w:firstLine="600"/>
        <w:rPr>
          <w:rFonts w:ascii="仿宋_GB2312" w:eastAsia="仿宋_GB2312"/>
          <w:color w:val="auto"/>
        </w:rPr>
      </w:pPr>
      <w:bookmarkStart w:id="572" w:name="_Hlk3454946"/>
      <w:r>
        <w:rPr>
          <w:rFonts w:hint="eastAsia" w:ascii="仿宋_GB2312" w:eastAsia="仿宋_GB2312"/>
          <w:color w:val="auto"/>
        </w:rPr>
        <w:t>养老服务设施是为老年人</w:t>
      </w:r>
      <w:bookmarkEnd w:id="572"/>
      <w:r>
        <w:rPr>
          <w:rFonts w:hint="eastAsia" w:ascii="仿宋_GB2312" w:eastAsia="仿宋_GB2312"/>
          <w:color w:val="auto"/>
        </w:rPr>
        <w:t>提供生活照料、康复护理、文体娱乐、精神慰藉、日间照料、短期托养、紧急救援等服务的设施，主要包括机构养老设施和社区居家养老设施。</w:t>
      </w:r>
    </w:p>
    <w:p>
      <w:pPr>
        <w:ind w:firstLine="600"/>
        <w:rPr>
          <w:rFonts w:ascii="仿宋_GB2312" w:eastAsia="仿宋_GB2312"/>
          <w:color w:val="auto"/>
        </w:rPr>
      </w:pPr>
      <w:r>
        <w:rPr>
          <w:rFonts w:hint="eastAsia" w:ascii="仿宋_GB2312" w:hAnsi="黑体" w:eastAsia="仿宋_GB2312"/>
          <w:color w:val="auto"/>
        </w:rPr>
        <w:t>——</w:t>
      </w:r>
      <w:r>
        <w:rPr>
          <w:rFonts w:hint="eastAsia" w:ascii="仿宋_GB2312" w:eastAsia="仿宋_GB2312"/>
          <w:color w:val="auto"/>
        </w:rPr>
        <w:t>依据北京市养老服务设施规划设计技术要点（市规发〔2014〕1946号）、《老年人照料设施建筑设计标准》（JGJ450-2018）。</w:t>
      </w:r>
    </w:p>
    <w:p>
      <w:pPr>
        <w:keepNext/>
        <w:keepLines/>
        <w:widowControl w:val="0"/>
        <w:spacing w:before="156" w:beforeLines="50" w:after="156" w:afterLines="50" w:line="264" w:lineRule="auto"/>
        <w:ind w:firstLine="602" w:firstLineChars="200"/>
        <w:jc w:val="both"/>
        <w:outlineLvl w:val="3"/>
        <w:rPr>
          <w:rFonts w:ascii="仿宋_GB2312" w:hAnsi="仿宋" w:eastAsia="仿宋_GB2312" w:cs="Times New Roman"/>
          <w:b/>
          <w:bCs/>
          <w:color w:val="auto"/>
          <w:kern w:val="2"/>
          <w:sz w:val="30"/>
          <w:szCs w:val="28"/>
          <w:lang w:val="en-US" w:eastAsia="zh-CN" w:bidi="ar-SA"/>
        </w:rPr>
      </w:pPr>
      <w:bookmarkStart w:id="573" w:name="_Toc11838567"/>
      <w:bookmarkStart w:id="574" w:name="_Toc21147_WPSOffice_Level2"/>
      <w:bookmarkStart w:id="575" w:name="_Toc6098_WPSOffice_Level2"/>
      <w:bookmarkStart w:id="576" w:name="_Toc642_WPSOffice_Level2"/>
      <w:bookmarkStart w:id="577" w:name="_Toc17517_WPSOffice_Level2"/>
      <w:bookmarkStart w:id="578" w:name="_Toc12623_WPSOffice_Level2"/>
      <w:r>
        <w:rPr>
          <w:rFonts w:hint="eastAsia" w:ascii="仿宋_GB2312" w:hAnsi="仿宋" w:eastAsia="仿宋_GB2312" w:cs="Times New Roman"/>
          <w:b/>
          <w:bCs/>
          <w:color w:val="auto"/>
          <w:kern w:val="2"/>
          <w:sz w:val="30"/>
          <w:szCs w:val="28"/>
          <w:lang w:val="en-US" w:eastAsia="zh-CN" w:bidi="ar-SA"/>
        </w:rPr>
        <w:t>3.1养老服务设施的构成</w:t>
      </w:r>
      <w:bookmarkEnd w:id="573"/>
      <w:bookmarkEnd w:id="574"/>
      <w:bookmarkEnd w:id="575"/>
      <w:bookmarkEnd w:id="576"/>
      <w:bookmarkEnd w:id="577"/>
      <w:bookmarkEnd w:id="578"/>
    </w:p>
    <w:p>
      <w:pPr>
        <w:keepNext/>
        <w:keepLines/>
        <w:widowControl w:val="0"/>
        <w:spacing w:before="156" w:beforeLines="50" w:after="156" w:afterLines="50" w:line="264" w:lineRule="auto"/>
        <w:ind w:firstLine="602" w:firstLineChars="200"/>
        <w:jc w:val="both"/>
        <w:outlineLvl w:val="3"/>
        <w:rPr>
          <w:rFonts w:ascii="仿宋_GB2312" w:hAnsi="仿宋" w:eastAsia="仿宋_GB2312" w:cs="Times New Roman"/>
          <w:b/>
          <w:bCs/>
          <w:color w:val="auto"/>
          <w:kern w:val="2"/>
          <w:sz w:val="30"/>
          <w:szCs w:val="28"/>
          <w:lang w:val="en-US" w:eastAsia="zh-CN" w:bidi="ar-SA"/>
        </w:rPr>
      </w:pPr>
      <w:bookmarkStart w:id="579" w:name="_Toc21822_WPSOffice_Level3"/>
      <w:bookmarkStart w:id="580" w:name="_Toc13576_WPSOffice_Level3"/>
      <w:bookmarkStart w:id="581" w:name="_Toc5484_WPSOffice_Level3"/>
      <w:bookmarkStart w:id="582" w:name="_Toc11838568"/>
      <w:bookmarkStart w:id="583" w:name="_Toc10781_WPSOffice_Level3"/>
      <w:bookmarkStart w:id="584" w:name="_Toc9626_WPSOffice_Level3"/>
      <w:r>
        <w:rPr>
          <w:rFonts w:hint="eastAsia" w:ascii="仿宋_GB2312" w:hAnsi="仿宋" w:eastAsia="仿宋_GB2312" w:cs="Times New Roman"/>
          <w:b/>
          <w:bCs/>
          <w:color w:val="auto"/>
          <w:kern w:val="2"/>
          <w:sz w:val="30"/>
          <w:szCs w:val="28"/>
          <w:lang w:val="en-US" w:eastAsia="zh-CN" w:bidi="ar-SA"/>
        </w:rPr>
        <w:t>3.1.1机构养老服务设施</w:t>
      </w:r>
      <w:bookmarkEnd w:id="579"/>
      <w:bookmarkEnd w:id="580"/>
      <w:bookmarkEnd w:id="581"/>
      <w:bookmarkEnd w:id="582"/>
      <w:bookmarkEnd w:id="583"/>
      <w:bookmarkEnd w:id="584"/>
      <w:r>
        <w:rPr>
          <w:rFonts w:hint="eastAsia" w:ascii="仿宋_GB2312" w:hAnsi="仿宋" w:eastAsia="仿宋_GB2312" w:cs="Times New Roman"/>
          <w:b/>
          <w:bCs/>
          <w:color w:val="auto"/>
          <w:kern w:val="2"/>
          <w:sz w:val="30"/>
          <w:szCs w:val="28"/>
          <w:lang w:val="en-US" w:eastAsia="zh-CN" w:bidi="ar-SA"/>
        </w:rPr>
        <w:t>（对应设施现状）</w:t>
      </w:r>
    </w:p>
    <w:p>
      <w:pPr>
        <w:ind w:firstLine="600"/>
        <w:rPr>
          <w:rFonts w:ascii="仿宋_GB2312" w:eastAsia="仿宋_GB2312"/>
          <w:color w:val="auto"/>
        </w:rPr>
      </w:pPr>
      <w:r>
        <w:rPr>
          <w:rFonts w:hint="eastAsia" w:ascii="仿宋_GB2312" w:eastAsia="仿宋_GB2312"/>
          <w:color w:val="auto"/>
        </w:rPr>
        <w:t>机构养老服务设施是为老年人提供集中居住和照料服务的养老服务设施，为收住的老年人提供生活照料、康复护理、精神慰藉、文化娱乐等服务，包括养老照料中心、养老院、老年人院、福利院、敬老院、老年养护院等。</w:t>
      </w:r>
    </w:p>
    <w:p>
      <w:pPr>
        <w:ind w:firstLine="600"/>
        <w:rPr>
          <w:rFonts w:ascii="仿宋_GB2312" w:eastAsia="仿宋_GB2312"/>
          <w:color w:val="auto"/>
        </w:rPr>
      </w:pPr>
      <w:r>
        <w:rPr>
          <w:rFonts w:hint="eastAsia" w:ascii="仿宋_GB2312" w:hAnsi="黑体" w:eastAsia="仿宋_GB2312"/>
          <w:color w:val="auto"/>
        </w:rPr>
        <w:t>——</w:t>
      </w:r>
      <w:r>
        <w:rPr>
          <w:rFonts w:hint="eastAsia" w:ascii="仿宋_GB2312" w:eastAsia="仿宋_GB2312"/>
          <w:color w:val="auto"/>
        </w:rPr>
        <w:t>依据《国务院办公厅关于推进养老服务发展的意见》(国办发〔2019〕5号)《老年人照料设施建筑设计标准》（JGJ450-2018）《养老机构管理办法》（民政部令第66号）。</w:t>
      </w:r>
    </w:p>
    <w:p>
      <w:pPr>
        <w:ind w:firstLine="600"/>
        <w:rPr>
          <w:rFonts w:ascii="仿宋_GB2312" w:eastAsia="仿宋_GB2312"/>
          <w:color w:val="auto"/>
        </w:rPr>
      </w:pPr>
      <w:r>
        <w:rPr>
          <w:rFonts w:hint="eastAsia" w:ascii="仿宋_GB2312" w:eastAsia="仿宋_GB2312"/>
          <w:color w:val="auto"/>
          <w:kern w:val="0"/>
        </w:rPr>
        <w:t>（1）</w:t>
      </w:r>
      <w:r>
        <w:rPr>
          <w:rFonts w:hint="eastAsia" w:ascii="仿宋_GB2312" w:eastAsia="仿宋_GB2312"/>
          <w:b/>
          <w:bCs/>
          <w:color w:val="auto"/>
          <w:kern w:val="0"/>
        </w:rPr>
        <w:t>（街乡镇）养老照料中心</w:t>
      </w:r>
      <w:r>
        <w:rPr>
          <w:rFonts w:hint="eastAsia" w:ascii="仿宋_GB2312" w:eastAsia="仿宋_GB2312"/>
          <w:color w:val="auto"/>
        </w:rPr>
        <w:t>是依托养老机构为中心主体机构，充分开展信息管理、居家养老、社区托老、专业支撑、机构养老、技能实训等服务的养老机构设施，即养老照料中心是兼具机构、社区、居家养老服务的养老机构。</w:t>
      </w:r>
    </w:p>
    <w:p>
      <w:pPr>
        <w:ind w:firstLine="600"/>
        <w:rPr>
          <w:rFonts w:ascii="仿宋_GB2312" w:eastAsia="仿宋_GB2312"/>
          <w:color w:val="auto"/>
        </w:rPr>
      </w:pPr>
      <w:r>
        <w:rPr>
          <w:rFonts w:hint="eastAsia" w:ascii="仿宋_GB2312" w:hAnsi="黑体" w:eastAsia="仿宋_GB2312"/>
          <w:color w:val="auto"/>
        </w:rPr>
        <w:t>——</w:t>
      </w:r>
      <w:r>
        <w:rPr>
          <w:rFonts w:hint="eastAsia" w:ascii="仿宋_GB2312" w:eastAsia="仿宋_GB2312"/>
          <w:color w:val="auto"/>
        </w:rPr>
        <w:t>依据《关于进一步推进本市养老机构和养老照料中心建设工作的通知》(京民福发〔2014〕321号)《北京市街道（乡镇）养老照料中心建设资助和管理运营管理办法》（京民福发〔2017〕162号）。</w:t>
      </w:r>
    </w:p>
    <w:p>
      <w:pPr>
        <w:ind w:firstLine="600"/>
        <w:rPr>
          <w:rFonts w:ascii="仿宋_GB2312" w:eastAsia="仿宋_GB2312"/>
          <w:color w:val="auto"/>
        </w:rPr>
      </w:pPr>
      <w:r>
        <w:rPr>
          <w:rFonts w:hint="eastAsia" w:ascii="仿宋_GB2312" w:eastAsia="仿宋_GB2312"/>
          <w:color w:val="auto"/>
          <w:kern w:val="0"/>
        </w:rPr>
        <w:t>（2）</w:t>
      </w:r>
      <w:r>
        <w:rPr>
          <w:rFonts w:hint="eastAsia" w:ascii="仿宋_GB2312" w:eastAsia="仿宋_GB2312"/>
          <w:b/>
          <w:bCs/>
          <w:color w:val="auto"/>
          <w:kern w:val="0"/>
        </w:rPr>
        <w:t>老年社会福利院</w:t>
      </w:r>
      <w:r>
        <w:rPr>
          <w:rFonts w:hint="eastAsia" w:ascii="仿宋_GB2312" w:eastAsia="仿宋_GB2312"/>
          <w:color w:val="auto"/>
        </w:rPr>
        <w:t>是国家出资举办、管理的综合接待“三无”老年人、自助老年人、</w:t>
      </w:r>
      <w:bookmarkStart w:id="585" w:name="_Hlk11851212"/>
      <w:r>
        <w:rPr>
          <w:rFonts w:hint="eastAsia" w:ascii="仿宋_GB2312" w:eastAsia="仿宋_GB2312"/>
          <w:color w:val="auto"/>
        </w:rPr>
        <w:t>帮助照护老年人</w:t>
      </w:r>
      <w:bookmarkEnd w:id="585"/>
      <w:r>
        <w:rPr>
          <w:rFonts w:hint="eastAsia" w:ascii="仿宋_GB2312" w:eastAsia="仿宋_GB2312"/>
          <w:color w:val="auto"/>
        </w:rPr>
        <w:t>安度晚年而设置的社会养老服务机构，设有生活起居、文化娱乐、康复训练、医疗保健等多项服务设施。</w:t>
      </w:r>
    </w:p>
    <w:p>
      <w:pPr>
        <w:ind w:firstLine="600"/>
        <w:rPr>
          <w:rFonts w:ascii="仿宋_GB2312" w:eastAsia="仿宋_GB2312"/>
          <w:color w:val="auto"/>
        </w:rPr>
      </w:pPr>
      <w:r>
        <w:rPr>
          <w:rFonts w:hint="eastAsia" w:ascii="仿宋_GB2312" w:hAnsi="黑体" w:eastAsia="仿宋_GB2312"/>
          <w:color w:val="auto"/>
        </w:rPr>
        <w:t>——</w:t>
      </w:r>
      <w:r>
        <w:rPr>
          <w:rFonts w:hint="eastAsia" w:ascii="仿宋_GB2312" w:eastAsia="仿宋_GB2312"/>
          <w:color w:val="auto"/>
        </w:rPr>
        <w:t>依据《养老机构管理办法》（民政部令第66号）《综合社会福利院建设标准》（建标〔2016〕296号）。</w:t>
      </w:r>
    </w:p>
    <w:p>
      <w:pPr>
        <w:ind w:firstLine="600"/>
        <w:rPr>
          <w:rFonts w:ascii="仿宋_GB2312" w:eastAsia="仿宋_GB2312"/>
          <w:color w:val="auto"/>
        </w:rPr>
      </w:pPr>
      <w:r>
        <w:rPr>
          <w:rFonts w:hint="eastAsia" w:ascii="仿宋_GB2312" w:eastAsia="仿宋_GB2312"/>
          <w:color w:val="auto"/>
          <w:kern w:val="0"/>
        </w:rPr>
        <w:t>（3）</w:t>
      </w:r>
      <w:r>
        <w:rPr>
          <w:rFonts w:hint="eastAsia" w:ascii="仿宋_GB2312" w:eastAsia="仿宋_GB2312"/>
          <w:b/>
          <w:bCs/>
          <w:color w:val="auto"/>
          <w:kern w:val="0"/>
        </w:rPr>
        <w:t>养老院或老年人院</w:t>
      </w:r>
      <w:r>
        <w:rPr>
          <w:rFonts w:hint="eastAsia" w:ascii="仿宋_GB2312" w:eastAsia="仿宋_GB2312"/>
          <w:color w:val="auto"/>
        </w:rPr>
        <w:t>是专为接待自理老年人或综合接待健康老年人、失能老年人、失智老年人，帮助老年人安度晚年而设置的社会养老服务机构，设有生活起居、文化娱乐、康复训练、医疗保障等多项服务设施。（现存名称还有老年家园、康护中心、老年人服务中心、休养所、光荣院、残保中心等）</w:t>
      </w:r>
    </w:p>
    <w:p>
      <w:pPr>
        <w:ind w:firstLine="600"/>
        <w:rPr>
          <w:rFonts w:ascii="仿宋_GB2312" w:eastAsia="仿宋_GB2312"/>
          <w:color w:val="auto"/>
        </w:rPr>
      </w:pPr>
      <w:r>
        <w:rPr>
          <w:rFonts w:hint="eastAsia" w:ascii="仿宋_GB2312" w:hAnsi="黑体" w:eastAsia="仿宋_GB2312"/>
          <w:color w:val="auto"/>
        </w:rPr>
        <w:t>——</w:t>
      </w:r>
      <w:r>
        <w:rPr>
          <w:rFonts w:hint="eastAsia" w:ascii="仿宋_GB2312" w:eastAsia="仿宋_GB2312"/>
          <w:color w:val="auto"/>
        </w:rPr>
        <w:t xml:space="preserve"> 依据《老年人社会福利机构基本规范》 （民发〔2001〕24号）</w:t>
      </w:r>
    </w:p>
    <w:p>
      <w:pPr>
        <w:ind w:firstLine="600"/>
        <w:rPr>
          <w:rFonts w:ascii="仿宋_GB2312" w:eastAsia="仿宋_GB2312"/>
          <w:color w:val="auto"/>
        </w:rPr>
      </w:pPr>
      <w:r>
        <w:rPr>
          <w:rFonts w:hint="eastAsia" w:ascii="仿宋_GB2312" w:eastAsia="仿宋_GB2312"/>
          <w:color w:val="auto"/>
        </w:rPr>
        <w:t>（4）</w:t>
      </w:r>
      <w:r>
        <w:rPr>
          <w:rFonts w:hint="eastAsia" w:ascii="仿宋_GB2312" w:eastAsia="仿宋_GB2312"/>
          <w:b/>
          <w:bCs/>
          <w:color w:val="auto"/>
        </w:rPr>
        <w:t>老年公寓</w:t>
      </w:r>
      <w:r>
        <w:rPr>
          <w:rFonts w:hint="eastAsia" w:ascii="仿宋_GB2312" w:eastAsia="仿宋_GB2312"/>
          <w:color w:val="auto"/>
        </w:rPr>
        <w:t>是为老年人提供独立或半独立居家形式的居住建筑。符合老年体能心态特征的公寓式老年住宅，具备餐饮、清洁卫生、文化娱乐、医疗保健等多项服务设施（服务体系），是综合管理的住宅类型。</w:t>
      </w:r>
    </w:p>
    <w:p>
      <w:pPr>
        <w:ind w:right="-42" w:rightChars="-14" w:firstLine="600"/>
        <w:rPr>
          <w:rFonts w:ascii="仿宋_GB2312" w:eastAsia="仿宋_GB2312"/>
          <w:color w:val="auto"/>
        </w:rPr>
      </w:pPr>
      <w:r>
        <w:rPr>
          <w:rFonts w:hint="eastAsia" w:ascii="仿宋_GB2312" w:hAnsi="黑体" w:eastAsia="仿宋_GB2312"/>
          <w:color w:val="auto"/>
        </w:rPr>
        <w:t>——</w:t>
      </w:r>
      <w:r>
        <w:rPr>
          <w:rFonts w:hint="eastAsia" w:ascii="仿宋_GB2312" w:eastAsia="仿宋_GB2312"/>
          <w:color w:val="auto"/>
        </w:rPr>
        <w:t xml:space="preserve"> 依据《老年人社会福利机构基本规范》（民发〔2001〕24号）</w:t>
      </w:r>
    </w:p>
    <w:p>
      <w:pPr>
        <w:ind w:firstLine="600"/>
        <w:rPr>
          <w:rFonts w:ascii="仿宋_GB2312" w:eastAsia="仿宋_GB2312"/>
          <w:color w:val="auto"/>
        </w:rPr>
      </w:pPr>
      <w:r>
        <w:rPr>
          <w:rFonts w:hint="eastAsia" w:ascii="仿宋_GB2312" w:eastAsia="仿宋_GB2312"/>
          <w:color w:val="auto"/>
          <w:kern w:val="0"/>
        </w:rPr>
        <w:t>（5）</w:t>
      </w:r>
      <w:r>
        <w:rPr>
          <w:rFonts w:hint="eastAsia" w:ascii="仿宋_GB2312" w:eastAsia="仿宋_GB2312"/>
          <w:b/>
          <w:bCs/>
          <w:color w:val="auto"/>
          <w:kern w:val="0"/>
        </w:rPr>
        <w:t>养护院</w:t>
      </w:r>
      <w:r>
        <w:rPr>
          <w:rFonts w:hint="eastAsia" w:ascii="仿宋_GB2312" w:eastAsia="仿宋_GB2312"/>
          <w:color w:val="auto"/>
        </w:rPr>
        <w:t>是照护老年人安度晚年而设置的社会养老服务机构，设有生活起居、文化娱乐、康复训练、医疗保健等多项服务设施。</w:t>
      </w:r>
    </w:p>
    <w:p>
      <w:pPr>
        <w:ind w:firstLine="600"/>
        <w:rPr>
          <w:rFonts w:ascii="仿宋_GB2312" w:eastAsia="仿宋_GB2312"/>
          <w:color w:val="auto"/>
        </w:rPr>
      </w:pPr>
      <w:r>
        <w:rPr>
          <w:rFonts w:hint="eastAsia" w:ascii="仿宋_GB2312" w:hAnsi="黑体" w:eastAsia="仿宋_GB2312"/>
          <w:color w:val="auto"/>
        </w:rPr>
        <w:t>——</w:t>
      </w:r>
      <w:r>
        <w:rPr>
          <w:rFonts w:hint="eastAsia" w:ascii="仿宋_GB2312" w:eastAsia="仿宋_GB2312"/>
          <w:color w:val="auto"/>
        </w:rPr>
        <w:t>依据《老年养护院建设标准》（建标〔2010〕194号）</w:t>
      </w:r>
    </w:p>
    <w:p>
      <w:pPr>
        <w:ind w:firstLine="600"/>
        <w:rPr>
          <w:rFonts w:ascii="仿宋_GB2312" w:eastAsia="仿宋_GB2312"/>
          <w:color w:val="auto"/>
        </w:rPr>
      </w:pPr>
      <w:r>
        <w:rPr>
          <w:rFonts w:hint="eastAsia" w:ascii="仿宋_GB2312" w:eastAsia="仿宋_GB2312"/>
          <w:color w:val="auto"/>
          <w:kern w:val="0"/>
        </w:rPr>
        <w:t>（6）</w:t>
      </w:r>
      <w:r>
        <w:rPr>
          <w:rFonts w:hint="eastAsia" w:ascii="仿宋_GB2312" w:eastAsia="仿宋_GB2312"/>
          <w:b/>
          <w:bCs/>
          <w:color w:val="auto"/>
          <w:kern w:val="0"/>
        </w:rPr>
        <w:t>护养院</w:t>
      </w:r>
      <w:r>
        <w:rPr>
          <w:rFonts w:hint="eastAsia" w:ascii="仿宋_GB2312" w:eastAsia="仿宋_GB2312"/>
          <w:color w:val="auto"/>
        </w:rPr>
        <w:t>是帮助照护老年人安度晚年而设置的社会养老服务机构，设有起居生活、文化娱乐、康复训练、医疗保健等多项服务设施。</w:t>
      </w:r>
    </w:p>
    <w:p>
      <w:pPr>
        <w:ind w:right="-339" w:rightChars="-113" w:firstLine="600"/>
        <w:rPr>
          <w:rFonts w:ascii="仿宋_GB2312" w:eastAsia="仿宋_GB2312"/>
          <w:color w:val="auto"/>
        </w:rPr>
      </w:pPr>
      <w:r>
        <w:rPr>
          <w:rFonts w:hint="eastAsia" w:ascii="仿宋_GB2312" w:hAnsi="黑体" w:eastAsia="仿宋_GB2312"/>
          <w:color w:val="auto"/>
        </w:rPr>
        <w:t>——</w:t>
      </w:r>
      <w:r>
        <w:rPr>
          <w:rFonts w:hint="eastAsia" w:ascii="仿宋_GB2312" w:eastAsia="仿宋_GB2312"/>
          <w:color w:val="auto"/>
        </w:rPr>
        <w:t>依据《老年人社会福利机构基本规范》(民发〔2001〕24号)</w:t>
      </w:r>
    </w:p>
    <w:p>
      <w:pPr>
        <w:ind w:firstLine="600"/>
        <w:rPr>
          <w:rFonts w:ascii="仿宋_GB2312" w:eastAsia="仿宋_GB2312"/>
          <w:color w:val="auto"/>
        </w:rPr>
      </w:pPr>
      <w:r>
        <w:rPr>
          <w:rFonts w:hint="eastAsia" w:ascii="仿宋_GB2312" w:eastAsia="仿宋_GB2312"/>
          <w:color w:val="auto"/>
          <w:kern w:val="0"/>
        </w:rPr>
        <w:t>（7）</w:t>
      </w:r>
      <w:r>
        <w:rPr>
          <w:rFonts w:hint="eastAsia" w:ascii="仿宋_GB2312" w:eastAsia="仿宋_GB2312"/>
          <w:b/>
          <w:bCs/>
          <w:color w:val="auto"/>
          <w:kern w:val="0"/>
        </w:rPr>
        <w:t>敬老院</w:t>
      </w:r>
      <w:r>
        <w:rPr>
          <w:rFonts w:hint="eastAsia" w:ascii="仿宋_GB2312" w:eastAsia="仿宋_GB2312"/>
          <w:color w:val="auto"/>
        </w:rPr>
        <w:t>是在农村乡（镇）、村设置的供养“三无”（无法定扶养义务人，或者虽有法定抚养义务人，但是扶养义务人无扶养能力的；无劳动能力的；无生活来源的）、“五保”（吃、穿、住、医、葬）老年人和接待社会上的老年人安度晚年的社会养老服务机构，设有生活起居、文化娱乐、康复训练、医疗保健等多项服务设施。</w:t>
      </w:r>
    </w:p>
    <w:p>
      <w:pPr>
        <w:ind w:firstLine="600"/>
        <w:rPr>
          <w:rFonts w:ascii="仿宋_GB2312" w:eastAsia="仿宋_GB2312"/>
          <w:color w:val="auto"/>
        </w:rPr>
      </w:pPr>
      <w:r>
        <w:rPr>
          <w:rFonts w:hint="eastAsia" w:ascii="仿宋_GB2312" w:hAnsi="黑体" w:eastAsia="仿宋_GB2312"/>
          <w:color w:val="auto"/>
        </w:rPr>
        <w:t>——</w:t>
      </w:r>
      <w:r>
        <w:rPr>
          <w:rFonts w:hint="eastAsia" w:ascii="仿宋_GB2312" w:eastAsia="仿宋_GB2312"/>
          <w:color w:val="auto"/>
        </w:rPr>
        <w:t>依据《农村五保供养工作条例》（国务院令第456号）</w:t>
      </w:r>
    </w:p>
    <w:p>
      <w:pPr>
        <w:keepNext/>
        <w:keepLines/>
        <w:widowControl w:val="0"/>
        <w:spacing w:before="156" w:beforeLines="50" w:after="156" w:afterLines="50" w:line="264" w:lineRule="auto"/>
        <w:ind w:firstLine="602" w:firstLineChars="200"/>
        <w:jc w:val="both"/>
        <w:outlineLvl w:val="3"/>
        <w:rPr>
          <w:rFonts w:ascii="仿宋_GB2312" w:hAnsi="仿宋" w:eastAsia="仿宋_GB2312" w:cs="Times New Roman"/>
          <w:b/>
          <w:bCs/>
          <w:color w:val="auto"/>
          <w:kern w:val="2"/>
          <w:sz w:val="30"/>
          <w:szCs w:val="28"/>
          <w:lang w:val="en-US" w:eastAsia="zh-CN" w:bidi="ar-SA"/>
        </w:rPr>
      </w:pPr>
      <w:bookmarkStart w:id="586" w:name="_Toc11838569"/>
      <w:bookmarkStart w:id="587" w:name="_Toc21155_WPSOffice_Level3"/>
      <w:bookmarkStart w:id="588" w:name="_Toc1917_WPSOffice_Level3"/>
      <w:bookmarkStart w:id="589" w:name="_Toc15886_WPSOffice_Level3"/>
      <w:bookmarkStart w:id="590" w:name="_Toc16109_WPSOffice_Level3"/>
      <w:bookmarkStart w:id="591" w:name="_Toc1509_WPSOffice_Level3"/>
      <w:r>
        <w:rPr>
          <w:rFonts w:hint="eastAsia" w:ascii="仿宋_GB2312" w:hAnsi="仿宋" w:eastAsia="仿宋_GB2312" w:cs="Times New Roman"/>
          <w:b/>
          <w:bCs/>
          <w:color w:val="auto"/>
          <w:kern w:val="2"/>
          <w:sz w:val="30"/>
          <w:szCs w:val="28"/>
          <w:lang w:val="en-US" w:eastAsia="zh-CN" w:bidi="ar-SA"/>
        </w:rPr>
        <w:t>3.1.2社区养老服务设施</w:t>
      </w:r>
      <w:bookmarkEnd w:id="586"/>
      <w:bookmarkEnd w:id="587"/>
      <w:bookmarkEnd w:id="588"/>
      <w:bookmarkEnd w:id="589"/>
      <w:bookmarkEnd w:id="590"/>
      <w:bookmarkEnd w:id="591"/>
    </w:p>
    <w:p>
      <w:pPr>
        <w:ind w:firstLine="600"/>
        <w:rPr>
          <w:rFonts w:ascii="仿宋_GB2312" w:eastAsia="仿宋_GB2312"/>
          <w:color w:val="auto"/>
        </w:rPr>
      </w:pPr>
      <w:r>
        <w:rPr>
          <w:rFonts w:hint="eastAsia" w:ascii="仿宋_GB2312" w:eastAsia="仿宋_GB2312"/>
          <w:color w:val="auto"/>
        </w:rPr>
        <w:t>社区养老服务设施是指为老年人提供综合性服务以及日间或短期集中照料服务的养老服务设施，包括社区养老服务驿站和农村幸福晚年驿站。</w:t>
      </w:r>
    </w:p>
    <w:p>
      <w:pPr>
        <w:ind w:firstLine="600"/>
        <w:rPr>
          <w:rFonts w:ascii="仿宋_GB2312" w:eastAsia="仿宋_GB2312"/>
          <w:color w:val="auto"/>
        </w:rPr>
      </w:pPr>
      <w:r>
        <w:rPr>
          <w:rFonts w:hint="eastAsia" w:ascii="仿宋_GB2312" w:hAnsi="黑体" w:eastAsia="仿宋_GB2312"/>
          <w:color w:val="auto"/>
        </w:rPr>
        <w:t>——</w:t>
      </w:r>
      <w:r>
        <w:rPr>
          <w:rFonts w:hint="eastAsia" w:ascii="仿宋_GB2312" w:eastAsia="仿宋_GB2312"/>
          <w:color w:val="auto"/>
        </w:rPr>
        <w:t>依据《北京市居住公共服务设置配置指标》（京政发〔2015〕7号）《北京市养老服务设施规划设计技术要点》（市规发〔2014〕1946号）《老年人照料设施建筑设计标准》（JGJ450-2018）。</w:t>
      </w:r>
    </w:p>
    <w:p>
      <w:pPr>
        <w:ind w:firstLine="602"/>
        <w:rPr>
          <w:rFonts w:ascii="仿宋_GB2312" w:eastAsia="仿宋_GB2312"/>
          <w:color w:val="auto"/>
        </w:rPr>
      </w:pPr>
      <w:r>
        <w:rPr>
          <w:rFonts w:hint="eastAsia" w:ascii="仿宋_GB2312" w:eastAsia="仿宋_GB2312"/>
          <w:b/>
          <w:color w:val="auto"/>
        </w:rPr>
        <w:t>（1）社区养老服务驿站</w:t>
      </w:r>
      <w:r>
        <w:rPr>
          <w:rFonts w:hint="eastAsia" w:ascii="仿宋_GB2312" w:eastAsia="仿宋_GB2312"/>
          <w:color w:val="auto"/>
        </w:rPr>
        <w:t>是具有居家老年人提供日间照料、呼叫服务、助餐服务、健康指导、文化娱乐、心理慰藉等基本功能，并根据自身设施条件和周边资源供给情况，拓展开展康复护理、心理咨询、法律咨询等延伸性功能。</w:t>
      </w:r>
    </w:p>
    <w:p>
      <w:pPr>
        <w:ind w:firstLine="600"/>
        <w:rPr>
          <w:rFonts w:ascii="仿宋_GB2312" w:eastAsia="仿宋_GB2312"/>
          <w:color w:val="auto"/>
        </w:rPr>
      </w:pPr>
      <w:r>
        <w:rPr>
          <w:rFonts w:hint="eastAsia" w:ascii="仿宋_GB2312" w:eastAsia="仿宋_GB2312"/>
          <w:color w:val="auto"/>
        </w:rPr>
        <w:t>社区养老服务驿站是充分利用社区资源，就近为有需求的居家老年人提供生活照料、陪伴护理、心理支持、社会交流等服务，由法人或具有法人资质的专业团队运营的为老服务机构（其中农村地区建设的养老服务驿站称为幸福晚年驿站）。</w:t>
      </w:r>
    </w:p>
    <w:p>
      <w:pPr>
        <w:ind w:firstLine="600"/>
        <w:rPr>
          <w:rFonts w:ascii="仿宋_GB2312" w:eastAsia="仿宋_GB2312"/>
          <w:color w:val="auto"/>
        </w:rPr>
      </w:pPr>
      <w:r>
        <w:rPr>
          <w:rFonts w:hint="eastAsia" w:ascii="仿宋_GB2312" w:hAnsi="黑体" w:eastAsia="仿宋_GB2312"/>
          <w:color w:val="auto"/>
        </w:rPr>
        <w:t>——</w:t>
      </w:r>
      <w:r>
        <w:rPr>
          <w:rFonts w:hint="eastAsia" w:ascii="仿宋_GB2312" w:eastAsia="仿宋_GB2312"/>
          <w:color w:val="auto"/>
        </w:rPr>
        <w:t>依据《社区养老服务驿站设施设计和服务标准（试行）》（京民福发〔2016〕392号）《北京市社区养老服务驿站运营扶持办法》（京民福发〔2018〕184号）。</w:t>
      </w:r>
    </w:p>
    <w:p>
      <w:pPr>
        <w:ind w:firstLine="602"/>
        <w:rPr>
          <w:rFonts w:ascii="仿宋_GB2312" w:eastAsia="仿宋_GB2312"/>
          <w:color w:val="auto"/>
        </w:rPr>
      </w:pPr>
      <w:r>
        <w:rPr>
          <w:rFonts w:hint="eastAsia" w:ascii="仿宋_GB2312" w:eastAsia="仿宋_GB2312"/>
          <w:b/>
          <w:color w:val="auto"/>
        </w:rPr>
        <w:t>（2）老年人活动中心</w:t>
      </w:r>
      <w:r>
        <w:rPr>
          <w:rFonts w:hint="eastAsia" w:ascii="仿宋_GB2312" w:eastAsia="仿宋_GB2312"/>
          <w:color w:val="auto"/>
        </w:rPr>
        <w:t>是为社区内自理老年人、半自理老年人提供活动场所、个人照料、保健康复、精神文化、休闲娱乐、教育咨询等日间服务的养老服务设施。</w:t>
      </w:r>
    </w:p>
    <w:p>
      <w:pPr>
        <w:ind w:firstLine="602"/>
        <w:rPr>
          <w:rFonts w:ascii="仿宋_GB2312" w:eastAsia="仿宋_GB2312"/>
          <w:color w:val="auto"/>
        </w:rPr>
      </w:pPr>
      <w:r>
        <w:rPr>
          <w:rFonts w:hint="eastAsia" w:ascii="仿宋_GB2312" w:eastAsia="仿宋_GB2312"/>
          <w:b/>
          <w:color w:val="auto"/>
        </w:rPr>
        <w:t>（3）居家（家政）服务中心</w:t>
      </w:r>
      <w:r>
        <w:rPr>
          <w:rFonts w:hint="eastAsia" w:ascii="仿宋_GB2312" w:eastAsia="仿宋_GB2312"/>
          <w:color w:val="auto"/>
        </w:rPr>
        <w:t>是为居家老年人提供生活照料、膳食、清洁卫生、心理/精神支持等方面服务的活动。</w:t>
      </w:r>
    </w:p>
    <w:p>
      <w:pPr>
        <w:ind w:firstLine="602"/>
        <w:rPr>
          <w:rFonts w:ascii="仿宋_GB2312" w:eastAsia="仿宋_GB2312"/>
          <w:color w:val="auto"/>
        </w:rPr>
      </w:pPr>
      <w:r>
        <w:rPr>
          <w:rFonts w:hint="eastAsia" w:ascii="仿宋_GB2312" w:eastAsia="仿宋_GB2312"/>
          <w:b/>
          <w:color w:val="auto"/>
        </w:rPr>
        <w:t>（4）老年人日间照料设施</w:t>
      </w:r>
      <w:r>
        <w:rPr>
          <w:rFonts w:hint="eastAsia" w:ascii="仿宋_GB2312" w:eastAsia="仿宋_GB2312"/>
          <w:color w:val="auto"/>
        </w:rPr>
        <w:t>是为老年人提供日间休息、临时托养、生活照料服务及其他服务项目的设施，是托老所、日托站、老年人日间照料室、老年人日间照料中心等的统称。</w:t>
      </w:r>
      <w:bookmarkStart w:id="592" w:name="_Toc26594_WPSOffice_Level2"/>
      <w:bookmarkStart w:id="593" w:name="_Toc6246_WPSOffice_Level2"/>
      <w:bookmarkStart w:id="594" w:name="_Toc27943_WPSOffice_Level2"/>
      <w:bookmarkStart w:id="595" w:name="_Toc4642_WPSOffice_Level2"/>
      <w:bookmarkStart w:id="596" w:name="_Toc11838570"/>
      <w:bookmarkStart w:id="597" w:name="_Toc10779_WPSOffice_Level2"/>
    </w:p>
    <w:p>
      <w:pPr>
        <w:keepNext/>
        <w:keepLines/>
        <w:widowControl w:val="0"/>
        <w:spacing w:before="156" w:beforeLines="50" w:after="156" w:afterLines="50" w:line="264" w:lineRule="auto"/>
        <w:ind w:firstLine="602" w:firstLineChars="200"/>
        <w:jc w:val="both"/>
        <w:outlineLvl w:val="3"/>
        <w:rPr>
          <w:rFonts w:ascii="仿宋_GB2312" w:hAnsi="仿宋" w:eastAsia="仿宋_GB2312" w:cs="Times New Roman"/>
          <w:b/>
          <w:bCs/>
          <w:color w:val="auto"/>
          <w:kern w:val="2"/>
          <w:sz w:val="30"/>
          <w:szCs w:val="28"/>
          <w:lang w:val="en-US" w:eastAsia="zh-CN" w:bidi="ar-SA"/>
        </w:rPr>
      </w:pPr>
      <w:r>
        <w:rPr>
          <w:rFonts w:hint="eastAsia" w:ascii="仿宋_GB2312" w:hAnsi="仿宋" w:eastAsia="仿宋_GB2312" w:cs="Times New Roman"/>
          <w:b/>
          <w:bCs/>
          <w:color w:val="auto"/>
          <w:kern w:val="2"/>
          <w:sz w:val="30"/>
          <w:szCs w:val="28"/>
          <w:lang w:val="en-US" w:eastAsia="zh-CN" w:bidi="ar-SA"/>
        </w:rPr>
        <w:t>3.2老年人设施与养老服务体系关系：确定本规划所涉及的设施</w:t>
      </w:r>
      <w:bookmarkEnd w:id="592"/>
      <w:bookmarkEnd w:id="593"/>
      <w:bookmarkEnd w:id="594"/>
      <w:bookmarkEnd w:id="595"/>
      <w:bookmarkEnd w:id="596"/>
      <w:bookmarkEnd w:id="597"/>
    </w:p>
    <w:p>
      <w:pPr>
        <w:wordWrap w:val="0"/>
        <w:autoSpaceDE w:val="0"/>
        <w:autoSpaceDN w:val="0"/>
        <w:ind w:firstLine="600"/>
        <w:rPr>
          <w:rFonts w:cs="Times New Roman"/>
          <w:color w:val="auto"/>
          <w:szCs w:val="30"/>
        </w:rPr>
      </w:pPr>
      <w:r>
        <w:rPr>
          <w:rFonts w:ascii="仿宋" w:hAnsi="仿宋" w:eastAsia="仿宋" w:cs="Times New Roman"/>
          <w:color w:val="auto"/>
          <w:kern w:val="2"/>
          <w:sz w:val="30"/>
          <w:szCs w:val="30"/>
          <w:lang w:val="en-US" w:eastAsia="zh-CN" w:bidi="ar-SA"/>
        </w:rPr>
        <w:pict>
          <v:shape id="Picture 1" o:spid="_x0000_s1026" type="#_x0000_t75" style="height:221.25pt;width:352.5pt;rotation:0f;" o:ole="f"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w:pict>
      </w:r>
    </w:p>
    <w:p>
      <w:pPr>
        <w:widowControl/>
        <w:wordWrap w:val="0"/>
        <w:autoSpaceDE w:val="0"/>
        <w:autoSpaceDN w:val="0"/>
        <w:ind w:firstLine="602"/>
        <w:jc w:val="center"/>
        <w:rPr>
          <w:rFonts w:cs="Times New Roman"/>
          <w:b/>
          <w:bCs/>
          <w:color w:val="auto"/>
          <w:kern w:val="0"/>
          <w:szCs w:val="30"/>
        </w:rPr>
      </w:pPr>
      <w:r>
        <w:rPr>
          <w:rFonts w:ascii="仿宋" w:hAnsi="仿宋" w:eastAsia="仿宋" w:cs="Times New Roman"/>
          <w:b/>
          <w:bCs/>
          <w:color w:val="auto"/>
          <w:kern w:val="0"/>
          <w:sz w:val="30"/>
          <w:szCs w:val="30"/>
          <w:lang w:val="en-US" w:eastAsia="zh-CN" w:bidi="ar-SA"/>
        </w:rPr>
        <w:pict>
          <v:shape id="Picture 2" o:spid="_x0000_s1027" type="#_x0000_t75" style="height:135.75pt;width:384.75pt;rotation:0f;" o:ole="f" fillcolor="#FFFFFF" filled="f" o:preferrelative="t" stroked="f" coordorigin="0,0" coordsize="21600,21600">
            <v:fill on="f" color2="#FFFFFF" focus="0%"/>
            <v:imagedata cropbottom="6058f" gain="65536f" blacklevel="0f" gamma="0" o:title="" r:id="rId16"/>
            <o:lock v:ext="edit" position="f" selection="f" grouping="f" rotation="f" cropping="f" text="f" aspectratio="t"/>
            <w10:wrap type="none"/>
            <w10:anchorlock/>
          </v:shape>
        </w:pict>
      </w:r>
    </w:p>
    <w:p>
      <w:pPr>
        <w:widowControl/>
        <w:ind w:firstLine="0" w:firstLineChars="0"/>
        <w:jc w:val="center"/>
        <w:rPr>
          <w:rFonts w:ascii="仿宋_GB2312" w:eastAsia="仿宋_GB2312" w:cs="宋体"/>
          <w:color w:val="auto"/>
          <w:kern w:val="0"/>
          <w:sz w:val="24"/>
        </w:rPr>
      </w:pPr>
      <w:r>
        <w:rPr>
          <w:rFonts w:hint="eastAsia" w:ascii="仿宋_GB2312" w:eastAsia="仿宋_GB2312" w:cs="宋体"/>
          <w:color w:val="auto"/>
          <w:kern w:val="0"/>
          <w:sz w:val="18"/>
          <w:szCs w:val="18"/>
          <w:shd w:val="clear" w:color="auto" w:fill="FFFFFF"/>
        </w:rPr>
        <w:t>数据来源《老年人照料设施建筑设计标准》JGJ450-2018条文说明2.0.1-2.0.3</w:t>
      </w:r>
    </w:p>
    <w:p>
      <w:pPr>
        <w:keepNext/>
        <w:keepLines/>
        <w:widowControl w:val="0"/>
        <w:spacing w:before="156" w:beforeLines="50" w:after="156" w:afterLines="50" w:line="264" w:lineRule="auto"/>
        <w:ind w:firstLine="602" w:firstLineChars="200"/>
        <w:jc w:val="both"/>
        <w:outlineLvl w:val="3"/>
        <w:rPr>
          <w:rFonts w:ascii="仿宋_GB2312" w:hAnsi="仿宋" w:eastAsia="仿宋_GB2312" w:cs="Times New Roman"/>
          <w:b/>
          <w:bCs/>
          <w:color w:val="auto"/>
          <w:kern w:val="2"/>
          <w:sz w:val="30"/>
          <w:szCs w:val="28"/>
          <w:lang w:val="en-US" w:eastAsia="zh-CN" w:bidi="ar-SA"/>
        </w:rPr>
      </w:pPr>
      <w:bookmarkStart w:id="598" w:name="_Toc3024_WPSOffice_Level2"/>
      <w:bookmarkStart w:id="599" w:name="_Toc14120_WPSOffice_Level2"/>
      <w:bookmarkStart w:id="600" w:name="_Toc14539_WPSOffice_Level2"/>
      <w:bookmarkStart w:id="601" w:name="_Toc6423_WPSOffice_Level2"/>
      <w:bookmarkStart w:id="602" w:name="_Toc290_WPSOffice_Level2"/>
      <w:bookmarkStart w:id="603" w:name="_Toc11838571"/>
      <w:r>
        <w:rPr>
          <w:rFonts w:hint="eastAsia" w:ascii="仿宋_GB2312" w:hAnsi="仿宋" w:eastAsia="仿宋_GB2312" w:cs="Times New Roman"/>
          <w:b/>
          <w:bCs/>
          <w:color w:val="auto"/>
          <w:kern w:val="2"/>
          <w:sz w:val="30"/>
          <w:szCs w:val="28"/>
          <w:lang w:val="en-US" w:eastAsia="zh-CN" w:bidi="ar-SA"/>
        </w:rPr>
        <w:t>3.3养老服务设施与养老服务机构：明确规划空间术语与民政行业术语的关系</w:t>
      </w:r>
      <w:bookmarkEnd w:id="598"/>
      <w:bookmarkEnd w:id="599"/>
      <w:bookmarkEnd w:id="600"/>
      <w:bookmarkEnd w:id="601"/>
      <w:bookmarkEnd w:id="602"/>
      <w:bookmarkEnd w:id="603"/>
    </w:p>
    <w:p>
      <w:pPr>
        <w:ind w:firstLine="600"/>
        <w:rPr>
          <w:rFonts w:ascii="仿宋_GB2312" w:eastAsia="仿宋_GB2312"/>
          <w:color w:val="auto"/>
        </w:rPr>
      </w:pPr>
      <w:r>
        <w:rPr>
          <w:rFonts w:hint="eastAsia" w:ascii="仿宋_GB2312" w:eastAsia="仿宋_GB2312"/>
          <w:color w:val="auto"/>
        </w:rPr>
        <w:t>养老服务机构是专门为老年人在日常生活中提供身体及精神上帮助的机构，包括本市养老机构和社区养老服务驿站。养老机构是给老年人提供长期集体居住为主的养老照料场所，社区养老服务驿站则是以就近、短期养老照料为主的服务场所。养老服务机构是基本的养老服务设施。</w:t>
      </w:r>
    </w:p>
    <w:p>
      <w:pPr>
        <w:widowControl w:val="0"/>
        <w:spacing w:beforeLines="50" w:afterLines="0" w:line="300" w:lineRule="auto"/>
        <w:ind w:firstLine="0" w:firstLineChars="0"/>
        <w:jc w:val="center"/>
        <w:rPr>
          <w:rFonts w:ascii="黑体" w:hAnsi="黑体" w:eastAsia="黑体" w:cs="Times New Roman"/>
          <w:color w:val="auto"/>
          <w:kern w:val="2"/>
          <w:sz w:val="30"/>
          <w:szCs w:val="24"/>
          <w:lang w:val="en-US" w:eastAsia="zh-CN" w:bidi="ar-SA"/>
        </w:rPr>
      </w:pPr>
      <w:r>
        <w:rPr>
          <w:rFonts w:hint="eastAsia" w:ascii="黑体" w:hAnsi="黑体" w:eastAsia="黑体" w:cs="Times New Roman"/>
          <w:color w:val="auto"/>
          <w:kern w:val="2"/>
          <w:sz w:val="30"/>
          <w:szCs w:val="24"/>
          <w:lang w:val="en-US" w:eastAsia="zh-CN" w:bidi="ar-SA"/>
        </w:rPr>
        <w:t>表39</w:t>
      </w:r>
      <w:r>
        <w:rPr>
          <w:rFonts w:ascii="黑体" w:hAnsi="黑体" w:eastAsia="黑体" w:cs="Times New Roman"/>
          <w:color w:val="auto"/>
          <w:kern w:val="2"/>
          <w:sz w:val="30"/>
          <w:szCs w:val="24"/>
          <w:lang w:val="en-US" w:eastAsia="zh-CN" w:bidi="ar-SA"/>
        </w:rPr>
        <w:t>规划空间术语与民政行业术语关系</w:t>
      </w:r>
      <w:r>
        <w:rPr>
          <w:rFonts w:hint="eastAsia" w:ascii="黑体" w:hAnsi="黑体" w:eastAsia="黑体" w:cs="Times New Roman"/>
          <w:color w:val="auto"/>
          <w:kern w:val="2"/>
          <w:sz w:val="30"/>
          <w:szCs w:val="24"/>
          <w:lang w:val="en-US" w:eastAsia="zh-CN" w:bidi="ar-SA"/>
        </w:rPr>
        <w:t>表</w:t>
      </w:r>
    </w:p>
    <w:tbl>
      <w:tblPr>
        <w:tblStyle w:val="39"/>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5"/>
        <w:gridCol w:w="3277"/>
        <w:gridCol w:w="174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5992" w:type="dxa"/>
            <w:gridSpan w:val="2"/>
            <w:vAlign w:val="center"/>
          </w:tcPr>
          <w:p>
            <w:pPr>
              <w:widowControl w:val="0"/>
              <w:spacing w:afterLines="0" w:line="240" w:lineRule="auto"/>
              <w:ind w:firstLine="0" w:firstLineChars="0"/>
              <w:jc w:val="center"/>
              <w:rPr>
                <w:rFonts w:ascii="仿宋_GB2312" w:hAnsi="黑体" w:eastAsia="仿宋_GB2312" w:cs="黑体"/>
                <w:b/>
                <w:bCs/>
                <w:color w:val="auto"/>
                <w:kern w:val="2"/>
                <w:sz w:val="21"/>
                <w:szCs w:val="24"/>
                <w:lang w:val="en-US" w:eastAsia="zh-CN" w:bidi="ar-SA"/>
              </w:rPr>
            </w:pPr>
            <w:r>
              <w:rPr>
                <w:rFonts w:hint="eastAsia" w:ascii="仿宋_GB2312" w:hAnsi="黑体" w:eastAsia="仿宋_GB2312" w:cs="黑体"/>
                <w:b/>
                <w:bCs/>
                <w:color w:val="auto"/>
                <w:kern w:val="2"/>
                <w:sz w:val="21"/>
                <w:szCs w:val="24"/>
                <w:lang w:val="en-US" w:eastAsia="zh-CN" w:bidi="ar-SA"/>
              </w:rPr>
              <w:t>规划</w:t>
            </w:r>
          </w:p>
        </w:tc>
        <w:tc>
          <w:tcPr>
            <w:tcW w:w="3359" w:type="dxa"/>
            <w:gridSpan w:val="2"/>
            <w:vAlign w:val="center"/>
          </w:tcPr>
          <w:p>
            <w:pPr>
              <w:widowControl w:val="0"/>
              <w:spacing w:afterLines="0" w:line="240" w:lineRule="auto"/>
              <w:ind w:firstLine="0" w:firstLineChars="0"/>
              <w:jc w:val="center"/>
              <w:rPr>
                <w:rFonts w:ascii="仿宋_GB2312" w:hAnsi="黑体" w:eastAsia="仿宋_GB2312" w:cs="黑体"/>
                <w:b/>
                <w:bCs/>
                <w:color w:val="auto"/>
                <w:kern w:val="2"/>
                <w:sz w:val="21"/>
                <w:szCs w:val="24"/>
                <w:lang w:val="en-US" w:eastAsia="zh-CN" w:bidi="ar-SA"/>
              </w:rPr>
            </w:pPr>
            <w:r>
              <w:rPr>
                <w:rFonts w:hint="eastAsia" w:ascii="仿宋_GB2312" w:hAnsi="黑体" w:eastAsia="仿宋_GB2312" w:cs="黑体"/>
                <w:b/>
                <w:bCs/>
                <w:color w:val="auto"/>
                <w:kern w:val="2"/>
                <w:sz w:val="21"/>
                <w:szCs w:val="24"/>
                <w:lang w:val="en-US" w:eastAsia="zh-CN" w:bidi="ar-SA"/>
              </w:rPr>
              <w:t>民政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5992" w:type="dxa"/>
            <w:gridSpan w:val="2"/>
            <w:vAlign w:val="center"/>
          </w:tcPr>
          <w:p>
            <w:pPr>
              <w:widowControl w:val="0"/>
              <w:spacing w:afterLines="0" w:line="240" w:lineRule="auto"/>
              <w:ind w:firstLine="0" w:firstLineChars="0"/>
              <w:jc w:val="center"/>
              <w:rPr>
                <w:rFonts w:ascii="仿宋_GB2312" w:hAnsi="黑体" w:eastAsia="仿宋_GB2312" w:cs="黑体"/>
                <w:b/>
                <w:bCs/>
                <w:color w:val="auto"/>
                <w:kern w:val="2"/>
                <w:sz w:val="21"/>
                <w:szCs w:val="24"/>
                <w:lang w:val="en-US" w:eastAsia="zh-CN" w:bidi="ar-SA"/>
              </w:rPr>
            </w:pPr>
            <w:r>
              <w:rPr>
                <w:rFonts w:hint="eastAsia" w:ascii="仿宋_GB2312" w:hAnsi="黑体" w:eastAsia="仿宋_GB2312" w:cs="黑体"/>
                <w:b/>
                <w:bCs/>
                <w:color w:val="auto"/>
                <w:kern w:val="2"/>
                <w:sz w:val="21"/>
                <w:szCs w:val="24"/>
                <w:lang w:val="en-US" w:eastAsia="zh-CN" w:bidi="ar-SA"/>
              </w:rPr>
              <w:t>养老服务设施</w:t>
            </w:r>
          </w:p>
        </w:tc>
        <w:tc>
          <w:tcPr>
            <w:tcW w:w="3359" w:type="dxa"/>
            <w:gridSpan w:val="2"/>
            <w:vAlign w:val="center"/>
          </w:tcPr>
          <w:p>
            <w:pPr>
              <w:widowControl w:val="0"/>
              <w:spacing w:afterLines="0" w:line="240" w:lineRule="auto"/>
              <w:ind w:firstLine="0" w:firstLineChars="0"/>
              <w:jc w:val="center"/>
              <w:rPr>
                <w:rFonts w:ascii="仿宋_GB2312" w:hAnsi="黑体" w:eastAsia="仿宋_GB2312" w:cs="黑体"/>
                <w:b/>
                <w:bCs/>
                <w:color w:val="auto"/>
                <w:kern w:val="2"/>
                <w:sz w:val="21"/>
                <w:szCs w:val="24"/>
                <w:lang w:val="en-US" w:eastAsia="zh-CN" w:bidi="ar-SA"/>
              </w:rPr>
            </w:pPr>
            <w:r>
              <w:rPr>
                <w:rFonts w:hint="eastAsia" w:ascii="仿宋_GB2312" w:hAnsi="黑体" w:eastAsia="仿宋_GB2312" w:cs="黑体"/>
                <w:b/>
                <w:bCs/>
                <w:color w:val="auto"/>
                <w:kern w:val="2"/>
                <w:sz w:val="21"/>
                <w:szCs w:val="24"/>
                <w:lang w:val="en-US" w:eastAsia="zh-CN" w:bidi="ar-SA"/>
              </w:rPr>
              <w:t>养老服务机构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2715" w:type="dxa"/>
            <w:vAlign w:val="center"/>
          </w:tcPr>
          <w:p>
            <w:pPr>
              <w:widowControl w:val="0"/>
              <w:spacing w:afterLines="0" w:line="300" w:lineRule="exact"/>
              <w:ind w:firstLine="0" w:firstLineChars="0"/>
              <w:jc w:val="center"/>
              <w:rPr>
                <w:rFonts w:ascii="仿宋_GB2312" w:hAnsi="黑体" w:eastAsia="仿宋_GB2312" w:cs="黑体"/>
                <w:b w:val="0"/>
                <w:bCs w:val="0"/>
                <w:color w:val="auto"/>
                <w:kern w:val="2"/>
                <w:sz w:val="21"/>
                <w:szCs w:val="24"/>
                <w:lang w:val="en-US" w:eastAsia="zh-CN" w:bidi="ar-SA"/>
              </w:rPr>
            </w:pPr>
            <w:r>
              <w:rPr>
                <w:rFonts w:hint="eastAsia" w:ascii="仿宋_GB2312" w:hAnsi="黑体" w:eastAsia="仿宋_GB2312" w:cs="黑体"/>
                <w:b w:val="0"/>
                <w:bCs w:val="0"/>
                <w:color w:val="auto"/>
                <w:kern w:val="2"/>
                <w:sz w:val="21"/>
                <w:szCs w:val="24"/>
                <w:lang w:val="en-US" w:eastAsia="zh-CN" w:bidi="ar-SA"/>
              </w:rPr>
              <w:t>机构养老设施</w:t>
            </w:r>
          </w:p>
          <w:p>
            <w:pPr>
              <w:widowControl w:val="0"/>
              <w:spacing w:afterLines="0" w:line="300" w:lineRule="exact"/>
              <w:ind w:firstLine="0" w:firstLineChars="0"/>
              <w:jc w:val="center"/>
              <w:rPr>
                <w:rFonts w:ascii="仿宋_GB2312" w:hAnsi="黑体" w:eastAsia="仿宋_GB2312" w:cs="黑体"/>
                <w:b w:val="0"/>
                <w:bCs w:val="0"/>
                <w:color w:val="auto"/>
                <w:kern w:val="2"/>
                <w:sz w:val="21"/>
                <w:szCs w:val="24"/>
                <w:lang w:val="en-US" w:eastAsia="zh-CN" w:bidi="ar-SA"/>
              </w:rPr>
            </w:pPr>
            <w:r>
              <w:rPr>
                <w:rFonts w:hint="eastAsia" w:ascii="仿宋_GB2312" w:hAnsi="黑体" w:eastAsia="仿宋_GB2312" w:cs="黑体"/>
                <w:b w:val="0"/>
                <w:bCs w:val="0"/>
                <w:color w:val="auto"/>
                <w:kern w:val="2"/>
                <w:sz w:val="21"/>
                <w:szCs w:val="24"/>
                <w:lang w:val="en-US" w:eastAsia="zh-CN" w:bidi="ar-SA"/>
              </w:rPr>
              <w:t>（7号文：机构养老设施）</w:t>
            </w:r>
          </w:p>
        </w:tc>
        <w:tc>
          <w:tcPr>
            <w:tcW w:w="3277" w:type="dxa"/>
            <w:vAlign w:val="center"/>
          </w:tcPr>
          <w:p>
            <w:pPr>
              <w:widowControl w:val="0"/>
              <w:spacing w:afterLines="0" w:line="300" w:lineRule="exact"/>
              <w:ind w:firstLine="0" w:firstLineChars="0"/>
              <w:jc w:val="center"/>
              <w:rPr>
                <w:rFonts w:ascii="仿宋_GB2312" w:hAnsi="黑体" w:eastAsia="仿宋_GB2312" w:cs="黑体"/>
                <w:b w:val="0"/>
                <w:bCs w:val="0"/>
                <w:color w:val="auto"/>
                <w:kern w:val="2"/>
                <w:sz w:val="21"/>
                <w:szCs w:val="24"/>
                <w:lang w:val="en-US" w:eastAsia="zh-CN" w:bidi="ar-SA"/>
              </w:rPr>
            </w:pPr>
            <w:r>
              <w:rPr>
                <w:rFonts w:hint="eastAsia" w:ascii="仿宋_GB2312" w:hAnsi="黑体" w:eastAsia="仿宋_GB2312" w:cs="黑体"/>
                <w:b w:val="0"/>
                <w:bCs w:val="0"/>
                <w:color w:val="auto"/>
                <w:kern w:val="2"/>
                <w:sz w:val="21"/>
                <w:szCs w:val="24"/>
                <w:lang w:val="en-US" w:eastAsia="zh-CN" w:bidi="ar-SA"/>
              </w:rPr>
              <w:t>社区居家养老设施</w:t>
            </w:r>
          </w:p>
          <w:p>
            <w:pPr>
              <w:widowControl w:val="0"/>
              <w:spacing w:afterLines="0" w:line="300" w:lineRule="exact"/>
              <w:ind w:firstLine="0" w:firstLineChars="0"/>
              <w:jc w:val="center"/>
              <w:rPr>
                <w:rFonts w:ascii="仿宋_GB2312" w:hAnsi="黑体" w:eastAsia="仿宋_GB2312" w:cs="黑体"/>
                <w:b w:val="0"/>
                <w:bCs w:val="0"/>
                <w:color w:val="auto"/>
                <w:kern w:val="2"/>
                <w:sz w:val="21"/>
                <w:szCs w:val="24"/>
                <w:lang w:val="en-US" w:eastAsia="zh-CN" w:bidi="ar-SA"/>
              </w:rPr>
            </w:pPr>
            <w:r>
              <w:rPr>
                <w:rFonts w:hint="eastAsia" w:ascii="仿宋_GB2312" w:hAnsi="黑体" w:eastAsia="仿宋_GB2312" w:cs="黑体"/>
                <w:b w:val="0"/>
                <w:bCs w:val="0"/>
                <w:color w:val="auto"/>
                <w:kern w:val="2"/>
                <w:sz w:val="21"/>
                <w:szCs w:val="24"/>
                <w:lang w:val="en-US" w:eastAsia="zh-CN" w:bidi="ar-SA"/>
              </w:rPr>
              <w:t>（7号文：托老所、老年活动场站）</w:t>
            </w:r>
          </w:p>
        </w:tc>
        <w:tc>
          <w:tcPr>
            <w:tcW w:w="1745" w:type="dxa"/>
            <w:vAlign w:val="center"/>
          </w:tcPr>
          <w:p>
            <w:pPr>
              <w:widowControl w:val="0"/>
              <w:spacing w:afterLines="0" w:line="300" w:lineRule="exact"/>
              <w:ind w:firstLine="0" w:firstLineChars="0"/>
              <w:jc w:val="center"/>
              <w:rPr>
                <w:rFonts w:ascii="仿宋_GB2312" w:hAnsi="黑体" w:eastAsia="仿宋_GB2312" w:cs="黑体"/>
                <w:b w:val="0"/>
                <w:bCs w:val="0"/>
                <w:color w:val="auto"/>
                <w:kern w:val="2"/>
                <w:sz w:val="21"/>
                <w:szCs w:val="24"/>
                <w:lang w:val="en-US" w:eastAsia="zh-CN" w:bidi="ar-SA"/>
              </w:rPr>
            </w:pPr>
            <w:r>
              <w:rPr>
                <w:rFonts w:hint="eastAsia" w:ascii="仿宋_GB2312" w:hAnsi="黑体" w:eastAsia="仿宋_GB2312" w:cs="黑体"/>
                <w:b w:val="0"/>
                <w:bCs w:val="0"/>
                <w:color w:val="auto"/>
                <w:kern w:val="2"/>
                <w:sz w:val="21"/>
                <w:szCs w:val="24"/>
                <w:lang w:val="en-US" w:eastAsia="zh-CN" w:bidi="ar-SA"/>
              </w:rPr>
              <w:t>养老机构</w:t>
            </w:r>
          </w:p>
        </w:tc>
        <w:tc>
          <w:tcPr>
            <w:tcW w:w="1614" w:type="dxa"/>
            <w:vAlign w:val="center"/>
          </w:tcPr>
          <w:p>
            <w:pPr>
              <w:widowControl w:val="0"/>
              <w:spacing w:afterLines="0" w:line="300" w:lineRule="exact"/>
              <w:ind w:firstLine="0" w:firstLineChars="0"/>
              <w:jc w:val="center"/>
              <w:rPr>
                <w:rFonts w:ascii="仿宋_GB2312" w:hAnsi="黑体" w:eastAsia="仿宋_GB2312" w:cs="黑体"/>
                <w:b w:val="0"/>
                <w:bCs w:val="0"/>
                <w:color w:val="auto"/>
                <w:kern w:val="2"/>
                <w:sz w:val="21"/>
                <w:szCs w:val="24"/>
                <w:lang w:val="en-US" w:eastAsia="zh-CN" w:bidi="ar-SA"/>
              </w:rPr>
            </w:pPr>
            <w:r>
              <w:rPr>
                <w:rFonts w:hint="eastAsia" w:ascii="仿宋_GB2312" w:hAnsi="黑体" w:eastAsia="仿宋_GB2312" w:cs="黑体"/>
                <w:b w:val="0"/>
                <w:bCs w:val="0"/>
                <w:color w:val="auto"/>
                <w:kern w:val="2"/>
                <w:sz w:val="21"/>
                <w:szCs w:val="24"/>
                <w:lang w:val="en-US" w:eastAsia="zh-CN" w:bidi="ar-SA"/>
              </w:rPr>
              <w:t>社区养老</w:t>
            </w:r>
          </w:p>
          <w:p>
            <w:pPr>
              <w:widowControl w:val="0"/>
              <w:spacing w:afterLines="0" w:line="300" w:lineRule="exact"/>
              <w:ind w:firstLine="0" w:firstLineChars="0"/>
              <w:jc w:val="center"/>
              <w:rPr>
                <w:rFonts w:ascii="仿宋_GB2312" w:hAnsi="黑体" w:eastAsia="仿宋_GB2312" w:cs="黑体"/>
                <w:b w:val="0"/>
                <w:bCs w:val="0"/>
                <w:color w:val="auto"/>
                <w:kern w:val="2"/>
                <w:sz w:val="21"/>
                <w:szCs w:val="24"/>
                <w:lang w:val="en-US" w:eastAsia="zh-CN" w:bidi="ar-SA"/>
              </w:rPr>
            </w:pPr>
            <w:r>
              <w:rPr>
                <w:rFonts w:hint="eastAsia" w:ascii="仿宋_GB2312" w:hAnsi="黑体" w:eastAsia="仿宋_GB2312" w:cs="黑体"/>
                <w:b w:val="0"/>
                <w:bCs w:val="0"/>
                <w:color w:val="auto"/>
                <w:kern w:val="2"/>
                <w:sz w:val="21"/>
                <w:szCs w:val="24"/>
                <w:lang w:val="en-US" w:eastAsia="zh-CN" w:bidi="ar-SA"/>
              </w:rPr>
              <w:t>服务驿站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9" w:hRule="atLeast"/>
          <w:jc w:val="center"/>
        </w:trPr>
        <w:tc>
          <w:tcPr>
            <w:tcW w:w="2715" w:type="dxa"/>
            <w:vAlign w:val="center"/>
          </w:tcPr>
          <w:p>
            <w:pPr>
              <w:widowControl w:val="0"/>
              <w:spacing w:afterLines="0" w:line="240" w:lineRule="auto"/>
              <w:ind w:firstLine="0" w:firstLineChars="0"/>
              <w:jc w:val="left"/>
              <w:rPr>
                <w:rFonts w:ascii="仿宋_GB2312" w:hAnsi="黑体" w:eastAsia="仿宋_GB2312" w:cs="黑体"/>
                <w:b w:val="0"/>
                <w:bCs w:val="0"/>
                <w:color w:val="auto"/>
                <w:kern w:val="2"/>
                <w:sz w:val="21"/>
                <w:szCs w:val="24"/>
                <w:lang w:val="en-US" w:eastAsia="zh-CN" w:bidi="ar-SA"/>
              </w:rPr>
            </w:pPr>
            <w:r>
              <w:rPr>
                <w:rFonts w:hint="eastAsia" w:ascii="仿宋_GB2312" w:hAnsi="黑体" w:eastAsia="仿宋_GB2312" w:cs="黑体"/>
                <w:b w:val="0"/>
                <w:bCs w:val="0"/>
                <w:color w:val="auto"/>
                <w:kern w:val="2"/>
                <w:sz w:val="21"/>
                <w:szCs w:val="24"/>
                <w:lang w:val="en-US" w:eastAsia="zh-CN" w:bidi="ar-SA"/>
              </w:rPr>
              <w:t>机构养老设施（7号文）内容要求：设置床位及相应娱乐康复健身设施</w:t>
            </w:r>
          </w:p>
        </w:tc>
        <w:tc>
          <w:tcPr>
            <w:tcW w:w="3277" w:type="dxa"/>
            <w:vAlign w:val="center"/>
          </w:tcPr>
          <w:p>
            <w:pPr>
              <w:widowControl w:val="0"/>
              <w:spacing w:afterLines="0" w:line="240" w:lineRule="auto"/>
              <w:ind w:firstLine="0" w:firstLineChars="0"/>
              <w:jc w:val="left"/>
              <w:rPr>
                <w:rFonts w:ascii="仿宋_GB2312" w:hAnsi="黑体" w:eastAsia="仿宋_GB2312" w:cs="黑体"/>
                <w:b w:val="0"/>
                <w:bCs w:val="0"/>
                <w:color w:val="auto"/>
                <w:kern w:val="2"/>
                <w:sz w:val="21"/>
                <w:szCs w:val="24"/>
                <w:lang w:val="en-US" w:eastAsia="zh-CN" w:bidi="ar-SA"/>
              </w:rPr>
            </w:pPr>
            <w:r>
              <w:rPr>
                <w:rFonts w:hint="eastAsia" w:ascii="仿宋_GB2312" w:hAnsi="黑体" w:eastAsia="仿宋_GB2312" w:cs="黑体"/>
                <w:b w:val="0"/>
                <w:bCs w:val="0"/>
                <w:color w:val="auto"/>
                <w:kern w:val="2"/>
                <w:sz w:val="21"/>
                <w:szCs w:val="24"/>
                <w:lang w:val="en-US" w:eastAsia="zh-CN" w:bidi="ar-SA"/>
              </w:rPr>
              <w:t>托老所（7号文）内容要求：设置床位及相应娱乐康复健身设施(包含不少于10张床位的日间照料中心和社区居家养老服务中心)</w:t>
            </w:r>
          </w:p>
          <w:p>
            <w:pPr>
              <w:widowControl w:val="0"/>
              <w:spacing w:afterLines="0" w:line="240" w:lineRule="auto"/>
              <w:ind w:firstLine="0" w:firstLineChars="0"/>
              <w:jc w:val="left"/>
              <w:rPr>
                <w:rFonts w:ascii="仿宋_GB2312" w:hAnsi="黑体" w:eastAsia="仿宋_GB2312" w:cs="黑体"/>
                <w:b w:val="0"/>
                <w:bCs w:val="0"/>
                <w:color w:val="auto"/>
                <w:kern w:val="2"/>
                <w:sz w:val="21"/>
                <w:szCs w:val="24"/>
                <w:lang w:val="en-US" w:eastAsia="zh-CN" w:bidi="ar-SA"/>
              </w:rPr>
            </w:pPr>
            <w:r>
              <w:rPr>
                <w:rFonts w:hint="eastAsia" w:ascii="仿宋_GB2312" w:hAnsi="黑体" w:eastAsia="仿宋_GB2312" w:cs="黑体"/>
                <w:b w:val="0"/>
                <w:bCs w:val="0"/>
                <w:color w:val="auto"/>
                <w:kern w:val="2"/>
                <w:sz w:val="21"/>
                <w:szCs w:val="24"/>
                <w:lang w:val="en-US" w:eastAsia="zh-CN" w:bidi="ar-SA"/>
              </w:rPr>
              <w:t>老年活动场站（7号文）内容要求：娱乐康复健身设施、学习教育及活动场地</w:t>
            </w:r>
          </w:p>
        </w:tc>
        <w:tc>
          <w:tcPr>
            <w:tcW w:w="1745" w:type="dxa"/>
            <w:vAlign w:val="center"/>
          </w:tcPr>
          <w:p>
            <w:pPr>
              <w:widowControl w:val="0"/>
              <w:spacing w:afterLines="0" w:line="240" w:lineRule="auto"/>
              <w:ind w:firstLine="0" w:firstLineChars="0"/>
              <w:jc w:val="left"/>
              <w:rPr>
                <w:rFonts w:ascii="仿宋_GB2312" w:hAnsi="黑体" w:eastAsia="仿宋_GB2312" w:cs="黑体"/>
                <w:b w:val="0"/>
                <w:bCs w:val="0"/>
                <w:color w:val="auto"/>
                <w:kern w:val="2"/>
                <w:sz w:val="21"/>
                <w:szCs w:val="24"/>
                <w:lang w:val="en-US" w:eastAsia="zh-CN" w:bidi="ar-SA"/>
              </w:rPr>
            </w:pPr>
            <w:r>
              <w:rPr>
                <w:rFonts w:hint="eastAsia" w:ascii="仿宋_GB2312" w:hAnsi="黑体" w:eastAsia="仿宋_GB2312" w:cs="黑体"/>
                <w:b w:val="0"/>
                <w:bCs w:val="0"/>
                <w:color w:val="auto"/>
                <w:kern w:val="2"/>
                <w:sz w:val="21"/>
                <w:szCs w:val="24"/>
                <w:lang w:val="en-US" w:eastAsia="zh-CN" w:bidi="ar-SA"/>
              </w:rPr>
              <w:t>给老年人提供长期集体居住为主的养老照料场所</w:t>
            </w:r>
          </w:p>
        </w:tc>
        <w:tc>
          <w:tcPr>
            <w:tcW w:w="1614" w:type="dxa"/>
            <w:vAlign w:val="center"/>
          </w:tcPr>
          <w:p>
            <w:pPr>
              <w:widowControl w:val="0"/>
              <w:spacing w:afterLines="0" w:line="240" w:lineRule="auto"/>
              <w:ind w:firstLine="0" w:firstLineChars="0"/>
              <w:jc w:val="left"/>
              <w:rPr>
                <w:rFonts w:ascii="仿宋_GB2312" w:hAnsi="黑体" w:eastAsia="仿宋_GB2312" w:cs="黑体"/>
                <w:b w:val="0"/>
                <w:bCs w:val="0"/>
                <w:color w:val="auto"/>
                <w:kern w:val="2"/>
                <w:sz w:val="21"/>
                <w:szCs w:val="24"/>
                <w:lang w:val="en-US" w:eastAsia="zh-CN" w:bidi="ar-SA"/>
              </w:rPr>
            </w:pPr>
            <w:r>
              <w:rPr>
                <w:rFonts w:hint="eastAsia" w:ascii="仿宋_GB2312" w:hAnsi="黑体" w:eastAsia="仿宋_GB2312" w:cs="黑体"/>
                <w:b w:val="0"/>
                <w:bCs w:val="0"/>
                <w:color w:val="auto"/>
                <w:kern w:val="2"/>
                <w:sz w:val="21"/>
                <w:szCs w:val="24"/>
                <w:lang w:val="en-US" w:eastAsia="zh-CN" w:bidi="ar-SA"/>
              </w:rPr>
              <w:t>以就近、短期养老照料为主的服务场所</w:t>
            </w:r>
          </w:p>
        </w:tc>
      </w:tr>
    </w:tbl>
    <w:p>
      <w:pPr>
        <w:pStyle w:val="45"/>
        <w:autoSpaceDE w:val="0"/>
        <w:autoSpaceDN w:val="0"/>
        <w:spacing w:line="300" w:lineRule="exact"/>
        <w:ind w:firstLine="0" w:firstLineChars="0"/>
        <w:jc w:val="left"/>
        <w:rPr>
          <w:rFonts w:ascii="仿宋_GB2312" w:eastAsia="仿宋_GB2312" w:cs="Times New Roman"/>
          <w:color w:val="auto"/>
          <w:sz w:val="21"/>
          <w:szCs w:val="21"/>
        </w:rPr>
      </w:pPr>
      <w:r>
        <w:rPr>
          <w:rFonts w:hint="eastAsia" w:ascii="仿宋_GB2312" w:eastAsia="仿宋_GB2312" w:cs="Times New Roman"/>
          <w:color w:val="auto"/>
          <w:sz w:val="21"/>
          <w:szCs w:val="21"/>
        </w:rPr>
        <w:t>注1：7号文指</w:t>
      </w:r>
      <w:bookmarkStart w:id="604" w:name="_Hlk11853801"/>
      <w:r>
        <w:rPr>
          <w:rFonts w:hint="eastAsia" w:ascii="仿宋_GB2312" w:eastAsia="仿宋_GB2312" w:cs="Times New Roman"/>
          <w:color w:val="auto"/>
          <w:sz w:val="21"/>
          <w:szCs w:val="21"/>
        </w:rPr>
        <w:t>《北京市居住公共服务设施配置指标》（京政发〔2015〕7号）</w:t>
      </w:r>
      <w:bookmarkEnd w:id="604"/>
    </w:p>
    <w:p>
      <w:pPr>
        <w:autoSpaceDE w:val="0"/>
        <w:autoSpaceDN w:val="0"/>
        <w:spacing w:line="300" w:lineRule="exact"/>
        <w:ind w:firstLine="0" w:firstLineChars="0"/>
        <w:jc w:val="left"/>
        <w:rPr>
          <w:rFonts w:ascii="仿宋_GB2312" w:eastAsia="仿宋_GB2312" w:cs="Times New Roman"/>
          <w:color w:val="auto"/>
          <w:sz w:val="21"/>
          <w:szCs w:val="21"/>
        </w:rPr>
      </w:pPr>
      <w:r>
        <w:rPr>
          <w:rFonts w:hint="eastAsia" w:ascii="仿宋_GB2312" w:eastAsia="仿宋_GB2312" w:cs="Times New Roman"/>
          <w:color w:val="auto"/>
          <w:sz w:val="21"/>
          <w:szCs w:val="21"/>
        </w:rPr>
        <w:t>注2：《北京城市总体规划（2016年-2035年）》（报批稿）“养老机构是为老年人提供集中居住和照护服务的养老服务设施”</w:t>
      </w:r>
    </w:p>
    <w:p>
      <w:pPr>
        <w:keepNext/>
        <w:keepLines/>
        <w:widowControl w:val="0"/>
        <w:spacing w:before="156" w:beforeLines="50" w:after="156" w:afterLines="50" w:line="264" w:lineRule="auto"/>
        <w:ind w:firstLine="602" w:firstLineChars="200"/>
        <w:jc w:val="both"/>
        <w:outlineLvl w:val="3"/>
        <w:rPr>
          <w:rFonts w:ascii="仿宋_GB2312" w:hAnsi="仿宋" w:eastAsia="仿宋_GB2312" w:cs="Times New Roman"/>
          <w:b/>
          <w:bCs/>
          <w:color w:val="auto"/>
          <w:kern w:val="2"/>
          <w:sz w:val="30"/>
          <w:szCs w:val="28"/>
          <w:lang w:val="en-US" w:eastAsia="zh-CN" w:bidi="ar-SA"/>
        </w:rPr>
      </w:pPr>
      <w:bookmarkStart w:id="605" w:name="_Toc9065_WPSOffice_Level2"/>
      <w:bookmarkStart w:id="606" w:name="_Toc18424_WPSOffice_Level2"/>
      <w:bookmarkStart w:id="607" w:name="_Toc28876_WPSOffice_Level2"/>
      <w:bookmarkStart w:id="608" w:name="_Toc19123_WPSOffice_Level2"/>
      <w:bookmarkStart w:id="609" w:name="_Toc17833_WPSOffice_Level2"/>
      <w:bookmarkStart w:id="610" w:name="_Toc11838572"/>
      <w:r>
        <w:rPr>
          <w:rFonts w:hint="eastAsia" w:ascii="仿宋_GB2312" w:hAnsi="仿宋" w:eastAsia="仿宋_GB2312" w:cs="Times New Roman"/>
          <w:b/>
          <w:bCs/>
          <w:color w:val="auto"/>
          <w:kern w:val="2"/>
          <w:sz w:val="30"/>
          <w:szCs w:val="28"/>
          <w:lang w:val="en-US" w:eastAsia="zh-CN" w:bidi="ar-SA"/>
        </w:rPr>
        <w:t>3.4千人养老服务设施建筑面积</w:t>
      </w:r>
      <w:bookmarkEnd w:id="605"/>
      <w:bookmarkEnd w:id="606"/>
      <w:bookmarkEnd w:id="607"/>
      <w:bookmarkEnd w:id="608"/>
      <w:bookmarkEnd w:id="609"/>
      <w:bookmarkEnd w:id="610"/>
    </w:p>
    <w:p>
      <w:pPr>
        <w:ind w:firstLine="584"/>
        <w:rPr>
          <w:rStyle w:val="33"/>
          <w:rFonts w:ascii="仿宋_GB2312" w:eastAsia="仿宋_GB2312" w:cs="Times New Roman"/>
          <w:b w:val="0"/>
          <w:color w:val="auto"/>
          <w:spacing w:val="-4"/>
          <w:szCs w:val="30"/>
        </w:rPr>
      </w:pPr>
      <w:r>
        <w:rPr>
          <w:rStyle w:val="33"/>
          <w:rFonts w:hint="eastAsia" w:ascii="仿宋_GB2312" w:hAnsi="Times New Roman" w:eastAsia="仿宋_GB2312" w:cs="Times New Roman"/>
          <w:b w:val="0"/>
          <w:color w:val="auto"/>
          <w:spacing w:val="-4"/>
          <w:szCs w:val="30"/>
        </w:rPr>
        <w:t>千人养老服务设施建筑面积指为满足常住老年人口养老服务需求，在城乡规划中每千人需配建的养老服务设施建筑面积标准。</w:t>
      </w:r>
    </w:p>
    <w:p>
      <w:pPr>
        <w:ind w:firstLine="602"/>
        <w:rPr>
          <w:rStyle w:val="33"/>
          <w:rFonts w:ascii="仿宋_GB2312" w:eastAsia="仿宋_GB2312" w:cs="宋体"/>
          <w:color w:val="auto"/>
          <w:kern w:val="0"/>
          <w:sz w:val="24"/>
        </w:rPr>
      </w:pPr>
      <w:r>
        <w:rPr>
          <w:rStyle w:val="33"/>
          <w:rFonts w:hint="eastAsia" w:ascii="仿宋_GB2312" w:hAnsi="Times New Roman" w:eastAsia="仿宋_GB2312" w:cs="Times New Roman"/>
          <w:bCs w:val="0"/>
          <w:color w:val="auto"/>
          <w:szCs w:val="30"/>
        </w:rPr>
        <w:t>测算方法</w:t>
      </w:r>
      <w:r>
        <w:rPr>
          <w:rStyle w:val="33"/>
          <w:rFonts w:hint="eastAsia" w:ascii="仿宋_GB2312" w:hAnsi="Times New Roman" w:eastAsia="仿宋_GB2312" w:cs="Times New Roman"/>
          <w:b w:val="0"/>
          <w:color w:val="auto"/>
          <w:szCs w:val="30"/>
        </w:rPr>
        <w:t>：包括机构养老设施和社区居家养老设施两部分。其中机构养老设施按照《北京城市总体规划（2016年-2035年）》要求，人口控制目标城六区1085万人、外围地区1215万人，以及本次规划确定的床均建筑面积城六区30平方米、外围地区40平方米进行测算。社区居家养老设施千人建筑面积依据《北京市居住公共服务设置配置指</w:t>
      </w:r>
      <w:r>
        <w:rPr>
          <w:rStyle w:val="33"/>
          <w:rFonts w:hint="eastAsia" w:ascii="仿宋_GB2312" w:hAnsi="Times New Roman" w:eastAsia="仿宋_GB2312" w:cs="Times New Roman"/>
          <w:b w:val="0"/>
          <w:bCs w:val="0"/>
          <w:color w:val="auto"/>
          <w:szCs w:val="30"/>
        </w:rPr>
        <w:t>标》和《北京市居住公共服务设施配置指标实施意见》</w:t>
      </w:r>
      <w:r>
        <w:rPr>
          <w:rStyle w:val="33"/>
          <w:rFonts w:hint="eastAsia" w:ascii="仿宋_GB2312" w:hAnsi="Times New Roman" w:eastAsia="仿宋_GB2312" w:cs="Times New Roman"/>
          <w:b w:val="0"/>
          <w:color w:val="auto"/>
          <w:szCs w:val="30"/>
        </w:rPr>
        <w:t>（京政发〔2015〕7号）确定，2025年和2035年分别为105平方米和110平方米。合计千人养老服务设施建筑面积2025年和2035年分别为352平方米和445平方米。2018年底北京常住人口为2154.2万人，养老机构总建筑面积约365万平方米、千人机构养老设施建筑面积约170平方米；建成社区养老服务驿站（农村幸福晚年驿站）755个，</w:t>
      </w:r>
      <w:bookmarkStart w:id="611" w:name="_Toc16366_WPSOffice_Level2"/>
      <w:bookmarkStart w:id="612" w:name="_Toc16911_WPSOffice_Level2"/>
      <w:bookmarkStart w:id="613" w:name="_Toc11838573"/>
      <w:bookmarkStart w:id="614" w:name="_Toc6289_WPSOffice_Level2"/>
      <w:bookmarkStart w:id="615" w:name="_Toc11997_WPSOffice_Level2"/>
      <w:bookmarkStart w:id="616" w:name="_Toc28334_WPSOffice_Level2"/>
      <w:r>
        <w:rPr>
          <w:rStyle w:val="33"/>
          <w:rFonts w:hint="eastAsia" w:ascii="仿宋_GB2312" w:hAnsi="Times New Roman" w:eastAsia="仿宋_GB2312" w:cs="Times New Roman"/>
          <w:b w:val="0"/>
          <w:color w:val="auto"/>
          <w:szCs w:val="30"/>
        </w:rPr>
        <w:t>按每个驿站平均建筑规模300平方米估算，驿站总建筑面积约22.65万平方米，千人社区居家养老服务设施建筑面积约10.5平方米。合计2018年底，千人养老服务设施建筑面积约180.5平方米。</w:t>
      </w:r>
    </w:p>
    <w:bookmarkEnd w:id="611"/>
    <w:bookmarkEnd w:id="612"/>
    <w:bookmarkEnd w:id="613"/>
    <w:bookmarkEnd w:id="614"/>
    <w:bookmarkEnd w:id="615"/>
    <w:bookmarkEnd w:id="616"/>
    <w:p>
      <w:pPr>
        <w:keepNext/>
        <w:keepLines/>
        <w:widowControl w:val="0"/>
        <w:spacing w:before="156" w:beforeLines="50" w:after="156" w:afterLines="50" w:line="264" w:lineRule="auto"/>
        <w:ind w:firstLine="0" w:firstLineChars="0"/>
        <w:jc w:val="both"/>
        <w:outlineLvl w:val="2"/>
        <w:rPr>
          <w:rFonts w:ascii="仿宋_GB2312" w:hAnsi="Times New Roman" w:eastAsia="仿宋_GB2312" w:cs="Times New Roman"/>
          <w:b/>
          <w:bCs/>
          <w:color w:val="auto"/>
          <w:kern w:val="2"/>
          <w:sz w:val="32"/>
          <w:szCs w:val="32"/>
          <w:lang w:val="en-US" w:eastAsia="zh-CN" w:bidi="ar-SA"/>
        </w:rPr>
      </w:pPr>
      <w:bookmarkStart w:id="617" w:name="_Toc11838574"/>
      <w:bookmarkStart w:id="618" w:name="_Toc31261_WPSOffice_Level1"/>
      <w:bookmarkStart w:id="619" w:name="_Toc22711_WPSOffice_Level1"/>
      <w:bookmarkStart w:id="620" w:name="_Toc3907_WPSOffice_Level1"/>
      <w:bookmarkStart w:id="621" w:name="_Toc25297_WPSOffice_Level1"/>
      <w:bookmarkStart w:id="622" w:name="_Toc8945_WPSOffice_Level1"/>
      <w:r>
        <w:rPr>
          <w:rFonts w:hint="eastAsia" w:ascii="仿宋_GB2312" w:hAnsi="Times New Roman" w:eastAsia="仿宋_GB2312" w:cs="Times New Roman"/>
          <w:b/>
          <w:bCs/>
          <w:color w:val="auto"/>
          <w:kern w:val="2"/>
          <w:sz w:val="32"/>
          <w:szCs w:val="32"/>
          <w:lang w:val="en-US" w:eastAsia="zh-CN" w:bidi="ar-SA"/>
        </w:rPr>
        <w:t>4．残疾人福利设施规划目标、内容和深度</w:t>
      </w:r>
      <w:bookmarkEnd w:id="617"/>
      <w:bookmarkEnd w:id="618"/>
      <w:bookmarkEnd w:id="619"/>
      <w:bookmarkEnd w:id="620"/>
      <w:bookmarkEnd w:id="621"/>
      <w:bookmarkEnd w:id="622"/>
    </w:p>
    <w:p>
      <w:pPr>
        <w:ind w:firstLine="600"/>
        <w:rPr>
          <w:rFonts w:ascii="仿宋_GB2312" w:eastAsia="仿宋_GB2312"/>
          <w:color w:val="auto"/>
        </w:rPr>
      </w:pPr>
      <w:r>
        <w:rPr>
          <w:rFonts w:hint="eastAsia" w:ascii="仿宋_GB2312" w:eastAsia="仿宋_GB2312"/>
          <w:color w:val="auto"/>
        </w:rPr>
        <w:t>《北京市居住公共服务设施配置指标》（京政发</w:t>
      </w:r>
      <w:r>
        <w:rPr>
          <w:rStyle w:val="33"/>
          <w:rFonts w:hint="eastAsia" w:ascii="仿宋_GB2312" w:hAnsi="Times New Roman" w:eastAsia="仿宋_GB2312" w:cs="Times New Roman"/>
          <w:b w:val="0"/>
          <w:color w:val="auto"/>
          <w:szCs w:val="30"/>
        </w:rPr>
        <w:t>〔2015〕</w:t>
      </w:r>
      <w:r>
        <w:rPr>
          <w:rFonts w:hint="eastAsia" w:ascii="仿宋_GB2312" w:eastAsia="仿宋_GB2312"/>
          <w:color w:val="auto"/>
        </w:rPr>
        <w:t>7号）涉及的残疾人福利设施为残疾人托养所、社区助残服务中心。</w:t>
      </w:r>
    </w:p>
    <w:p>
      <w:pPr>
        <w:keepNext/>
        <w:keepLines/>
        <w:widowControl w:val="0"/>
        <w:spacing w:before="156" w:beforeLines="50" w:after="156" w:afterLines="50" w:line="264" w:lineRule="auto"/>
        <w:ind w:firstLine="0" w:firstLineChars="0"/>
        <w:jc w:val="both"/>
        <w:outlineLvl w:val="2"/>
        <w:rPr>
          <w:rFonts w:ascii="仿宋_GB2312" w:hAnsi="Times New Roman" w:eastAsia="仿宋_GB2312" w:cs="Times New Roman"/>
          <w:b/>
          <w:bCs/>
          <w:color w:val="auto"/>
          <w:kern w:val="2"/>
          <w:sz w:val="32"/>
          <w:szCs w:val="32"/>
          <w:lang w:val="en-US" w:eastAsia="zh-CN" w:bidi="ar-SA"/>
        </w:rPr>
      </w:pPr>
      <w:bookmarkStart w:id="623" w:name="_Toc12355_WPSOffice_Level1"/>
      <w:bookmarkStart w:id="624" w:name="_Toc13834_WPSOffice_Level1"/>
      <w:bookmarkStart w:id="625" w:name="_Toc21881_WPSOffice_Level1"/>
      <w:bookmarkStart w:id="626" w:name="_Toc11838575"/>
      <w:bookmarkStart w:id="627" w:name="_Toc20986_WPSOffice_Level1"/>
      <w:bookmarkStart w:id="628" w:name="_Toc20023_WPSOffice_Level1"/>
      <w:r>
        <w:rPr>
          <w:rFonts w:hint="eastAsia" w:ascii="仿宋_GB2312" w:hAnsi="Times New Roman" w:eastAsia="仿宋_GB2312" w:cs="Times New Roman"/>
          <w:b/>
          <w:bCs/>
          <w:color w:val="auto"/>
          <w:kern w:val="2"/>
          <w:sz w:val="32"/>
          <w:szCs w:val="32"/>
          <w:lang w:val="en-US" w:eastAsia="zh-CN" w:bidi="ar-SA"/>
        </w:rPr>
        <w:t>5．儿童福利设施规划目标、内容和深度</w:t>
      </w:r>
      <w:bookmarkEnd w:id="623"/>
      <w:bookmarkEnd w:id="624"/>
      <w:bookmarkEnd w:id="625"/>
      <w:bookmarkEnd w:id="626"/>
      <w:bookmarkEnd w:id="627"/>
      <w:bookmarkEnd w:id="628"/>
    </w:p>
    <w:p>
      <w:pPr>
        <w:ind w:firstLine="600"/>
        <w:rPr>
          <w:rFonts w:ascii="仿宋_GB2312" w:eastAsia="仿宋_GB2312"/>
          <w:color w:val="auto"/>
        </w:rPr>
      </w:pPr>
      <w:r>
        <w:rPr>
          <w:rFonts w:hint="eastAsia" w:ascii="仿宋_GB2312" w:eastAsia="仿宋_GB2312"/>
          <w:color w:val="auto"/>
        </w:rPr>
        <w:t>《北京市居住公共服务设施配置指标》（京政发</w:t>
      </w:r>
      <w:r>
        <w:rPr>
          <w:rStyle w:val="33"/>
          <w:rFonts w:hint="eastAsia" w:ascii="仿宋_GB2312" w:hAnsi="Times New Roman" w:eastAsia="仿宋_GB2312" w:cs="Times New Roman"/>
          <w:b w:val="0"/>
          <w:color w:val="auto"/>
          <w:szCs w:val="30"/>
        </w:rPr>
        <w:t>〔2015〕</w:t>
      </w:r>
      <w:r>
        <w:rPr>
          <w:rFonts w:hint="eastAsia" w:ascii="仿宋_GB2312" w:eastAsia="仿宋_GB2312"/>
          <w:color w:val="auto"/>
        </w:rPr>
        <w:t>7号）未涉及。本规划中主要是新增内容。</w:t>
      </w:r>
    </w:p>
    <w:p>
      <w:pPr>
        <w:keepNext/>
        <w:keepLines/>
        <w:widowControl w:val="0"/>
        <w:spacing w:before="156" w:beforeLines="50" w:after="156" w:afterLines="50" w:line="264" w:lineRule="auto"/>
        <w:ind w:firstLine="0" w:firstLineChars="0"/>
        <w:jc w:val="both"/>
        <w:outlineLvl w:val="2"/>
        <w:rPr>
          <w:rFonts w:ascii="仿宋_GB2312" w:hAnsi="Times New Roman" w:eastAsia="仿宋_GB2312" w:cs="Times New Roman"/>
          <w:b/>
          <w:bCs/>
          <w:color w:val="auto"/>
          <w:kern w:val="2"/>
          <w:sz w:val="32"/>
          <w:szCs w:val="32"/>
          <w:lang w:val="en-US" w:eastAsia="zh-CN" w:bidi="ar-SA"/>
        </w:rPr>
      </w:pPr>
      <w:bookmarkStart w:id="629" w:name="_Toc11838576"/>
      <w:bookmarkStart w:id="630" w:name="_Toc17900_WPSOffice_Level1"/>
      <w:bookmarkStart w:id="631" w:name="_Toc9632_WPSOffice_Level1"/>
      <w:bookmarkStart w:id="632" w:name="_Toc18160_WPSOffice_Level1"/>
      <w:bookmarkStart w:id="633" w:name="_Toc1111_WPSOffice_Level1"/>
      <w:bookmarkStart w:id="634" w:name="_Toc4485_WPSOffice_Level1"/>
      <w:r>
        <w:rPr>
          <w:rFonts w:hint="eastAsia" w:ascii="仿宋_GB2312" w:hAnsi="Times New Roman" w:eastAsia="仿宋_GB2312" w:cs="Times New Roman"/>
          <w:b/>
          <w:bCs/>
          <w:color w:val="auto"/>
          <w:kern w:val="2"/>
          <w:sz w:val="32"/>
          <w:szCs w:val="32"/>
          <w:lang w:val="en-US" w:eastAsia="zh-CN" w:bidi="ar-SA"/>
        </w:rPr>
        <w:t>6．机构入住率</w:t>
      </w:r>
      <w:bookmarkEnd w:id="629"/>
      <w:bookmarkEnd w:id="630"/>
      <w:bookmarkEnd w:id="631"/>
      <w:bookmarkEnd w:id="632"/>
      <w:bookmarkEnd w:id="633"/>
      <w:bookmarkEnd w:id="634"/>
    </w:p>
    <w:p>
      <w:pPr>
        <w:ind w:firstLine="600"/>
        <w:rPr>
          <w:rFonts w:ascii="仿宋_GB2312" w:eastAsia="仿宋_GB2312"/>
          <w:color w:val="auto"/>
        </w:rPr>
      </w:pPr>
      <w:r>
        <w:rPr>
          <w:rFonts w:hint="eastAsia" w:ascii="仿宋_GB2312" w:eastAsia="仿宋_GB2312"/>
          <w:color w:val="auto"/>
        </w:rPr>
        <w:t>机构入住率是指入住老年人占用床位的总数与养老机构内设总床位数的比率（%）。</w:t>
      </w:r>
    </w:p>
    <w:p>
      <w:pPr>
        <w:keepNext/>
        <w:keepLines/>
        <w:widowControl w:val="0"/>
        <w:spacing w:before="156" w:beforeLines="50" w:after="156" w:afterLines="50" w:line="264" w:lineRule="auto"/>
        <w:ind w:firstLine="0" w:firstLineChars="0"/>
        <w:jc w:val="both"/>
        <w:outlineLvl w:val="2"/>
        <w:rPr>
          <w:rFonts w:ascii="仿宋_GB2312" w:hAnsi="Times New Roman" w:eastAsia="仿宋_GB2312" w:cs="Times New Roman"/>
          <w:b/>
          <w:bCs/>
          <w:color w:val="auto"/>
          <w:kern w:val="2"/>
          <w:sz w:val="32"/>
          <w:szCs w:val="32"/>
          <w:lang w:val="en-US" w:eastAsia="zh-CN" w:bidi="ar-SA"/>
        </w:rPr>
      </w:pPr>
      <w:bookmarkStart w:id="635" w:name="_Toc8252_WPSOffice_Level1"/>
      <w:bookmarkStart w:id="636" w:name="_Toc16954_WPSOffice_Level1"/>
      <w:bookmarkStart w:id="637" w:name="_Toc1373_WPSOffice_Level1"/>
      <w:bookmarkStart w:id="638" w:name="_Toc21864_WPSOffice_Level1"/>
      <w:bookmarkStart w:id="639" w:name="_Toc4144_WPSOffice_Level1"/>
      <w:bookmarkStart w:id="640" w:name="_Toc11838577"/>
      <w:r>
        <w:rPr>
          <w:rFonts w:hint="eastAsia" w:ascii="仿宋_GB2312" w:hAnsi="Times New Roman" w:eastAsia="仿宋_GB2312" w:cs="Times New Roman"/>
          <w:b/>
          <w:bCs/>
          <w:color w:val="auto"/>
          <w:kern w:val="2"/>
          <w:sz w:val="32"/>
          <w:szCs w:val="32"/>
          <w:lang w:val="en-US" w:eastAsia="zh-CN" w:bidi="ar-SA"/>
        </w:rPr>
        <w:t>7．养老床位</w:t>
      </w:r>
      <w:bookmarkEnd w:id="635"/>
      <w:bookmarkEnd w:id="636"/>
      <w:bookmarkEnd w:id="637"/>
      <w:bookmarkEnd w:id="638"/>
      <w:bookmarkEnd w:id="639"/>
      <w:bookmarkEnd w:id="640"/>
    </w:p>
    <w:p>
      <w:pPr>
        <w:ind w:firstLine="600"/>
        <w:rPr>
          <w:rFonts w:ascii="仿宋_GB2312" w:eastAsia="仿宋_GB2312"/>
          <w:color w:val="auto"/>
        </w:rPr>
      </w:pPr>
      <w:r>
        <w:rPr>
          <w:rFonts w:hint="eastAsia" w:ascii="仿宋_GB2312" w:eastAsia="仿宋_GB2312"/>
          <w:color w:val="auto"/>
        </w:rPr>
        <w:t>养老床位是指在养老机构（含养老照料中心）内部或其他居住环境内为老年人提供居住和照料服务的床位设施，包括养老机构床位、短期养老床位和养老家庭照护床位。</w:t>
      </w:r>
    </w:p>
    <w:p>
      <w:pPr>
        <w:keepNext/>
        <w:keepLines/>
        <w:widowControl w:val="0"/>
        <w:spacing w:before="156" w:beforeLines="50" w:after="156" w:afterLines="50" w:line="264" w:lineRule="auto"/>
        <w:ind w:firstLine="602" w:firstLineChars="200"/>
        <w:jc w:val="both"/>
        <w:outlineLvl w:val="3"/>
        <w:rPr>
          <w:rFonts w:ascii="仿宋_GB2312" w:hAnsi="仿宋" w:eastAsia="仿宋_GB2312" w:cs="Times New Roman"/>
          <w:b/>
          <w:bCs/>
          <w:color w:val="auto"/>
          <w:kern w:val="2"/>
          <w:sz w:val="30"/>
          <w:szCs w:val="28"/>
          <w:lang w:val="en-US" w:eastAsia="zh-CN" w:bidi="ar-SA"/>
        </w:rPr>
      </w:pPr>
      <w:bookmarkStart w:id="641" w:name="_Toc11838578"/>
      <w:bookmarkStart w:id="642" w:name="_Toc26544_WPSOffice_Level2"/>
      <w:bookmarkStart w:id="643" w:name="_Toc24390_WPSOffice_Level2"/>
      <w:bookmarkStart w:id="644" w:name="_Toc23641_WPSOffice_Level2"/>
      <w:bookmarkStart w:id="645" w:name="_Toc29915_WPSOffice_Level2"/>
      <w:bookmarkStart w:id="646" w:name="_Toc10883_WPSOffice_Level2"/>
      <w:r>
        <w:rPr>
          <w:rFonts w:hint="eastAsia" w:ascii="仿宋_GB2312" w:hAnsi="仿宋" w:eastAsia="仿宋_GB2312" w:cs="Times New Roman"/>
          <w:b/>
          <w:bCs/>
          <w:color w:val="auto"/>
          <w:kern w:val="2"/>
          <w:sz w:val="30"/>
          <w:szCs w:val="28"/>
          <w:lang w:val="en-US" w:eastAsia="zh-CN" w:bidi="ar-SA"/>
        </w:rPr>
        <w:t>7.1养老机构床位</w:t>
      </w:r>
      <w:bookmarkEnd w:id="641"/>
      <w:bookmarkEnd w:id="642"/>
      <w:bookmarkEnd w:id="643"/>
      <w:bookmarkEnd w:id="644"/>
      <w:bookmarkEnd w:id="645"/>
      <w:bookmarkEnd w:id="646"/>
    </w:p>
    <w:p>
      <w:pPr>
        <w:ind w:firstLine="600"/>
        <w:rPr>
          <w:rFonts w:ascii="仿宋_GB2312" w:eastAsia="仿宋_GB2312"/>
          <w:color w:val="auto"/>
        </w:rPr>
      </w:pPr>
      <w:r>
        <w:rPr>
          <w:rFonts w:hint="eastAsia" w:ascii="仿宋_GB2312" w:eastAsia="仿宋_GB2312"/>
          <w:color w:val="auto"/>
        </w:rPr>
        <w:t>养老机构床位是指养老机构内部面向老年人提供床位设施，包括护理型床位和非护理型床位。</w:t>
      </w:r>
    </w:p>
    <w:p>
      <w:pPr>
        <w:keepNext/>
        <w:keepLines/>
        <w:widowControl w:val="0"/>
        <w:spacing w:before="156" w:beforeLines="50" w:after="156" w:afterLines="50" w:line="264" w:lineRule="auto"/>
        <w:ind w:firstLine="602" w:firstLineChars="200"/>
        <w:jc w:val="both"/>
        <w:outlineLvl w:val="3"/>
        <w:rPr>
          <w:rFonts w:ascii="仿宋_GB2312" w:hAnsi="仿宋" w:eastAsia="仿宋_GB2312" w:cs="Times New Roman"/>
          <w:b/>
          <w:bCs/>
          <w:color w:val="auto"/>
          <w:kern w:val="2"/>
          <w:sz w:val="30"/>
          <w:szCs w:val="28"/>
          <w:lang w:val="en-US" w:eastAsia="zh-CN" w:bidi="ar-SA"/>
        </w:rPr>
      </w:pPr>
      <w:bookmarkStart w:id="647" w:name="_Toc5750_WPSOffice_Level3"/>
      <w:bookmarkStart w:id="648" w:name="_Toc17167_WPSOffice_Level3"/>
      <w:bookmarkStart w:id="649" w:name="_Toc11838579"/>
      <w:bookmarkStart w:id="650" w:name="_Toc7361_WPSOffice_Level3"/>
      <w:bookmarkStart w:id="651" w:name="_Toc9579_WPSOffice_Level3"/>
      <w:bookmarkStart w:id="652" w:name="_Toc4361_WPSOffice_Level3"/>
      <w:r>
        <w:rPr>
          <w:rFonts w:hint="eastAsia" w:ascii="仿宋_GB2312" w:hAnsi="仿宋" w:eastAsia="仿宋_GB2312" w:cs="Times New Roman"/>
          <w:b/>
          <w:bCs/>
          <w:color w:val="auto"/>
          <w:kern w:val="2"/>
          <w:sz w:val="30"/>
          <w:szCs w:val="28"/>
          <w:lang w:val="en-US" w:eastAsia="zh-CN" w:bidi="ar-SA"/>
        </w:rPr>
        <w:t>7.1.1养老机构护理型床位/护养型床位</w:t>
      </w:r>
      <w:bookmarkEnd w:id="647"/>
      <w:bookmarkEnd w:id="648"/>
      <w:bookmarkEnd w:id="649"/>
      <w:bookmarkEnd w:id="650"/>
      <w:bookmarkEnd w:id="651"/>
      <w:bookmarkEnd w:id="652"/>
    </w:p>
    <w:p>
      <w:pPr>
        <w:pStyle w:val="45"/>
        <w:wordWrap w:val="0"/>
        <w:autoSpaceDE w:val="0"/>
        <w:autoSpaceDN w:val="0"/>
        <w:ind w:firstLine="600"/>
        <w:rPr>
          <w:rFonts w:ascii="仿宋_GB2312" w:eastAsia="仿宋_GB2312" w:cs="Times New Roman"/>
          <w:color w:val="auto"/>
          <w:szCs w:val="30"/>
        </w:rPr>
      </w:pPr>
      <w:r>
        <w:rPr>
          <w:rFonts w:hint="eastAsia" w:ascii="仿宋_GB2312" w:eastAsia="仿宋_GB2312" w:cs="Times New Roman"/>
          <w:color w:val="auto"/>
          <w:szCs w:val="30"/>
        </w:rPr>
        <w:t>养老机构护理型床位/护养型床位是指在养老机构内部面向失能、失智老年人照护服务需求，体现基本生活照护功能和与生活密切相关的医疗护理服务功能的床位设施。</w:t>
      </w:r>
    </w:p>
    <w:p>
      <w:pPr>
        <w:keepNext/>
        <w:keepLines/>
        <w:widowControl w:val="0"/>
        <w:spacing w:before="156" w:beforeLines="50" w:after="156" w:afterLines="50" w:line="264" w:lineRule="auto"/>
        <w:ind w:firstLine="602" w:firstLineChars="200"/>
        <w:jc w:val="both"/>
        <w:outlineLvl w:val="3"/>
        <w:rPr>
          <w:rFonts w:ascii="仿宋_GB2312" w:hAnsi="仿宋" w:eastAsia="仿宋_GB2312" w:cs="Times New Roman"/>
          <w:b/>
          <w:bCs/>
          <w:color w:val="auto"/>
          <w:kern w:val="2"/>
          <w:sz w:val="30"/>
          <w:szCs w:val="28"/>
          <w:lang w:val="en-US" w:eastAsia="zh-CN" w:bidi="ar-SA"/>
        </w:rPr>
      </w:pPr>
      <w:bookmarkStart w:id="653" w:name="_Toc5209_WPSOffice_Level3"/>
      <w:bookmarkStart w:id="654" w:name="_Toc20456_WPSOffice_Level3"/>
      <w:bookmarkStart w:id="655" w:name="_Toc11838580"/>
      <w:bookmarkStart w:id="656" w:name="_Toc7162_WPSOffice_Level3"/>
      <w:bookmarkStart w:id="657" w:name="_Toc19007_WPSOffice_Level3"/>
      <w:bookmarkStart w:id="658" w:name="_Toc21318_WPSOffice_Level3"/>
      <w:r>
        <w:rPr>
          <w:rFonts w:hint="eastAsia" w:ascii="仿宋_GB2312" w:hAnsi="仿宋" w:eastAsia="仿宋_GB2312" w:cs="Times New Roman"/>
          <w:b/>
          <w:bCs/>
          <w:color w:val="auto"/>
          <w:kern w:val="2"/>
          <w:sz w:val="30"/>
          <w:szCs w:val="28"/>
          <w:lang w:val="en-US" w:eastAsia="zh-CN" w:bidi="ar-SA"/>
        </w:rPr>
        <w:t>7.1.2千人养老床位数</w:t>
      </w:r>
      <w:bookmarkEnd w:id="653"/>
      <w:bookmarkEnd w:id="654"/>
      <w:bookmarkEnd w:id="655"/>
      <w:bookmarkEnd w:id="656"/>
      <w:bookmarkEnd w:id="657"/>
      <w:bookmarkEnd w:id="658"/>
    </w:p>
    <w:p>
      <w:pPr>
        <w:pStyle w:val="45"/>
        <w:autoSpaceDE w:val="0"/>
        <w:autoSpaceDN w:val="0"/>
        <w:ind w:firstLine="600"/>
        <w:rPr>
          <w:rFonts w:ascii="仿宋_GB2312" w:eastAsia="仿宋_GB2312" w:cs="Times New Roman"/>
          <w:color w:val="auto"/>
          <w:szCs w:val="30"/>
        </w:rPr>
      </w:pPr>
      <w:r>
        <w:rPr>
          <w:rFonts w:hint="eastAsia" w:ascii="仿宋_GB2312" w:eastAsia="仿宋_GB2312" w:cs="Times New Roman"/>
          <w:color w:val="auto"/>
          <w:szCs w:val="30"/>
        </w:rPr>
        <w:t>千人养老床位数指每千名常住人口拥有的养老床位数，是反映养老服务发展水平的约束性指标。</w:t>
      </w:r>
      <w:bookmarkStart w:id="659" w:name="_Hlk11862039"/>
      <w:r>
        <w:rPr>
          <w:rFonts w:hint="eastAsia" w:ascii="仿宋_GB2312" w:eastAsia="仿宋_GB2312" w:cs="Times New Roman"/>
          <w:color w:val="auto"/>
          <w:szCs w:val="30"/>
        </w:rPr>
        <w:t>依据《总体规划》</w:t>
      </w:r>
      <w:bookmarkEnd w:id="659"/>
      <w:r>
        <w:rPr>
          <w:rFonts w:hint="eastAsia" w:ascii="仿宋_GB2312" w:eastAsia="仿宋_GB2312" w:cs="Times New Roman"/>
          <w:color w:val="auto"/>
          <w:szCs w:val="30"/>
        </w:rPr>
        <w:t>，2025年千人养老床位数需达到7张以上、2035年达到9.5张。</w:t>
      </w:r>
    </w:p>
    <w:p>
      <w:pPr>
        <w:keepNext/>
        <w:keepLines/>
        <w:widowControl w:val="0"/>
        <w:spacing w:before="156" w:beforeLines="50" w:after="156" w:afterLines="50" w:line="264" w:lineRule="auto"/>
        <w:ind w:firstLine="602" w:firstLineChars="200"/>
        <w:jc w:val="both"/>
        <w:outlineLvl w:val="3"/>
        <w:rPr>
          <w:rFonts w:ascii="仿宋_GB2312" w:hAnsi="仿宋" w:eastAsia="仿宋_GB2312" w:cs="Times New Roman"/>
          <w:b/>
          <w:bCs/>
          <w:color w:val="auto"/>
          <w:kern w:val="2"/>
          <w:sz w:val="30"/>
          <w:szCs w:val="28"/>
          <w:lang w:val="en-US" w:eastAsia="zh-CN" w:bidi="ar-SA"/>
        </w:rPr>
      </w:pPr>
      <w:bookmarkStart w:id="660" w:name="_Toc11838581"/>
      <w:bookmarkStart w:id="661" w:name="_Toc24382_WPSOffice_Level2"/>
      <w:bookmarkStart w:id="662" w:name="_Toc31479_WPSOffice_Level2"/>
      <w:bookmarkStart w:id="663" w:name="_Toc27561_WPSOffice_Level2"/>
      <w:bookmarkStart w:id="664" w:name="_Toc22204_WPSOffice_Level2"/>
      <w:bookmarkStart w:id="665" w:name="_Toc28097_WPSOffice_Level2"/>
      <w:r>
        <w:rPr>
          <w:rFonts w:hint="eastAsia" w:ascii="仿宋_GB2312" w:hAnsi="仿宋" w:eastAsia="仿宋_GB2312" w:cs="Times New Roman"/>
          <w:b/>
          <w:bCs/>
          <w:color w:val="auto"/>
          <w:kern w:val="2"/>
          <w:sz w:val="30"/>
          <w:szCs w:val="28"/>
          <w:lang w:val="en-US" w:eastAsia="zh-CN" w:bidi="ar-SA"/>
        </w:rPr>
        <w:t>7.2社区养老床位</w:t>
      </w:r>
      <w:bookmarkEnd w:id="660"/>
      <w:bookmarkEnd w:id="661"/>
      <w:bookmarkEnd w:id="662"/>
      <w:bookmarkEnd w:id="663"/>
      <w:bookmarkEnd w:id="664"/>
      <w:bookmarkEnd w:id="665"/>
    </w:p>
    <w:p>
      <w:pPr>
        <w:ind w:firstLine="600"/>
        <w:rPr>
          <w:rFonts w:ascii="仿宋_GB2312" w:eastAsia="仿宋_GB2312"/>
          <w:color w:val="auto"/>
        </w:rPr>
      </w:pPr>
      <w:r>
        <w:rPr>
          <w:rFonts w:hint="eastAsia" w:ascii="仿宋_GB2312" w:eastAsia="仿宋_GB2312"/>
          <w:color w:val="auto"/>
        </w:rPr>
        <w:t>社区养老床位是指非养老机构面向老年人提供的非居家、短期或临时性的床位设施。包括医院、社区养老服务驿站、老年人日间照料中心中提供的短期护理型床位和非护理型床位。</w:t>
      </w:r>
      <w:r>
        <w:rPr>
          <w:rFonts w:hint="eastAsia" w:ascii="仿宋_GB2312" w:hAnsi="黑体" w:eastAsia="仿宋_GB2312"/>
          <w:color w:val="auto"/>
        </w:rPr>
        <w:t>——</w:t>
      </w:r>
      <w:r>
        <w:rPr>
          <w:rFonts w:hint="eastAsia" w:ascii="仿宋_GB2312" w:eastAsia="仿宋_GB2312"/>
          <w:color w:val="auto"/>
        </w:rPr>
        <w:t>依据《社区养老服务驿站设施设计和服务标准》。</w:t>
      </w:r>
    </w:p>
    <w:p>
      <w:pPr>
        <w:keepNext/>
        <w:keepLines/>
        <w:widowControl w:val="0"/>
        <w:spacing w:before="156" w:beforeLines="50" w:after="156" w:afterLines="50" w:line="264" w:lineRule="auto"/>
        <w:ind w:firstLine="602" w:firstLineChars="200"/>
        <w:jc w:val="both"/>
        <w:outlineLvl w:val="3"/>
        <w:rPr>
          <w:rFonts w:ascii="仿宋_GB2312" w:hAnsi="仿宋" w:eastAsia="仿宋_GB2312" w:cs="Times New Roman"/>
          <w:b/>
          <w:bCs/>
          <w:color w:val="auto"/>
          <w:kern w:val="2"/>
          <w:sz w:val="30"/>
          <w:szCs w:val="28"/>
          <w:lang w:val="en-US" w:eastAsia="zh-CN" w:bidi="ar-SA"/>
        </w:rPr>
      </w:pPr>
      <w:bookmarkStart w:id="666" w:name="_Toc17332_WPSOffice_Level2"/>
      <w:bookmarkStart w:id="667" w:name="_Toc6889_WPSOffice_Level2"/>
      <w:bookmarkStart w:id="668" w:name="_Toc25790_WPSOffice_Level2"/>
      <w:bookmarkStart w:id="669" w:name="_Toc24569_WPSOffice_Level2"/>
      <w:bookmarkStart w:id="670" w:name="_Toc11838582"/>
      <w:bookmarkStart w:id="671" w:name="_Toc3118_WPSOffice_Level2"/>
      <w:r>
        <w:rPr>
          <w:rFonts w:hint="eastAsia" w:ascii="仿宋_GB2312" w:hAnsi="仿宋" w:eastAsia="仿宋_GB2312" w:cs="Times New Roman"/>
          <w:b/>
          <w:bCs/>
          <w:color w:val="auto"/>
          <w:kern w:val="2"/>
          <w:sz w:val="30"/>
          <w:szCs w:val="28"/>
          <w:lang w:val="en-US" w:eastAsia="zh-CN" w:bidi="ar-SA"/>
        </w:rPr>
        <w:t>7.3养老家庭照护床位</w:t>
      </w:r>
      <w:bookmarkEnd w:id="666"/>
      <w:bookmarkEnd w:id="667"/>
      <w:bookmarkEnd w:id="668"/>
      <w:bookmarkEnd w:id="669"/>
      <w:bookmarkEnd w:id="670"/>
      <w:bookmarkEnd w:id="671"/>
    </w:p>
    <w:p>
      <w:pPr>
        <w:ind w:firstLine="600"/>
        <w:rPr>
          <w:rFonts w:ascii="仿宋_GB2312" w:eastAsia="仿宋_GB2312"/>
          <w:color w:val="auto"/>
        </w:rPr>
      </w:pPr>
      <w:r>
        <w:rPr>
          <w:rFonts w:hint="eastAsia" w:ascii="仿宋_GB2312" w:eastAsia="仿宋_GB2312"/>
          <w:color w:val="auto"/>
        </w:rPr>
        <w:t>养老家庭照护床位是指由养老服务机构依托现代信息技术和照护管理服务模式，为居住在家的重度失能和重度残疾老年人提供生活照料、安全协助、健康管理等专业服务，使老年人在家中获得相当于一般养老机构服务标准的整合性养老服务。该服务由具有养老服务机构资质的社会组织或企业提供，并以服务为中心，依照社区进行划分，对辖区内有养老需求的老年人提供居家服务的新型养老服务方式。政府对老年人所接受的照护服务项目进行补助和监管，形成老年人、子女、服务方、政府多方支持的家庭养老服务机制。</w:t>
      </w:r>
    </w:p>
    <w:p>
      <w:pPr>
        <w:ind w:firstLine="600"/>
        <w:rPr>
          <w:color w:val="auto"/>
        </w:rPr>
      </w:pPr>
      <w:r>
        <w:rPr>
          <w:rFonts w:ascii="仿宋" w:hAnsi="仿宋" w:eastAsia="仿宋" w:cs="黑体"/>
          <w:color w:val="auto"/>
          <w:kern w:val="2"/>
          <w:sz w:val="30"/>
          <w:szCs w:val="24"/>
          <w:lang w:val="en-US" w:eastAsia="zh-CN" w:bidi="ar-SA"/>
        </w:rPr>
        <w:pict>
          <v:group id="组合 57" o:spid="_x0000_s1028" style="height:202pt;width:357.95pt;rotation:0f;" coordorigin="0,0" coordsize="72,42">
            <o:lock v:ext="edit" position="f" selection="f" grouping="f" rotation="f" cropping="f" text="f" aspectratio="f"/>
            <v:group id="图示 21" o:spid="_x0000_s1029" style="position:absolute;left:0;top:0;height:42;width:72;rotation:0f;" coordorigin="0,0" coordsize="7159,4152">
              <o:lock v:ext="edit" position="f" selection="f" grouping="f" rotation="f" cropping="f" text="f" aspectratio="f"/>
              <v:rect id="Rectangle 6" o:spid="_x0000_s1030" style="position:absolute;left:0;top:65;height:4023;width:7159;rotation:0f;" o:ole="f" fillcolor="#FFFFFF" filled="f" o:preferrelative="t" stroked="f" coordsize="21600,21600">
                <v:fill on="f" color2="#FFFFFF" focus="0%"/>
                <v:imagedata gain="65536f" blacklevel="0f" gamma="0"/>
                <o:lock v:ext="edit" position="f" selection="f" grouping="f" rotation="f" cropping="f" text="f" aspectratio="f"/>
                <v:textbox inset="0.00pt,0.00pt,0.00pt,0.00pt"/>
              </v:rect>
              <v:shape id="AutoShape 7" o:spid="_x0000_s1031" o:spt="100" type="" style="position:absolute;left:1916;top:574;height:3314;width:3327;rotation:0f;" o:ole="f" fillcolor="#70AD47" filled="t" o:preferrelative="t" stroked="f" coordorigin="0,0" coordsize="21600,21600" path="m1481,7772l1480,7771c2792,3735,6554,1002,10799,1002,15043,1002,18805,3735,20117,7772l21071,7462,21071,7461c19625,3011,15478,-1,10800,-1,6120,-1,1974,3012,528,7462l1481,7772xe">
                <v:path textboxrect="0,0,3015,1042"/>
                <v:imagedata gain="65536f" blacklevel="0f" gamma="0"/>
                <o:lock v:ext="edit" position="f" selection="f" grouping="f" rotation="f" cropping="f" text="f" aspectratio="f"/>
              </v:shape>
              <v:shape id="AutoShape 8" o:spid="_x0000_s1032" o:spt="100" type="" style="position:absolute;left:1916;top:574;height:3314;width:3327;rotation:0f;" o:ole="f" fillcolor="#4472C4" filled="t" o:preferrelative="t" stroked="f" coordorigin="0,0" coordsize="21600,21600" path="m5040,18726l5040,18725c2502,16882,1001,13935,1001,10799,1001,5387,5387,1001,10799,1001,16210,1001,20597,5387,20597,10799,20597,13935,19095,16882,16557,18725l17148,19537c19945,17505,21600,14257,21600,10800,21600,4835,16764,0,10800,0,4835,0,0,4835,0,10800,0,14257,1654,17505,4451,19537l5040,18726xe">
                <v:path textboxrect="0,0,3015,2727"/>
                <v:imagedata gain="65536f" blacklevel="0f" gamma="0"/>
                <o:lock v:ext="edit" position="f" selection="f" grouping="f" rotation="f" cropping="f" text="f" aspectratio="f"/>
              </v:shape>
              <v:shape id="AutoShape 9" o:spid="_x0000_s1033" o:spt="100" type="" style="position:absolute;left:1916;top:574;height:3314;width:3327;rotation:0f;" o:ole="f" fillcolor="#FFC000" filled="t" o:preferrelative="t" stroked="f" coordorigin="0,0" coordsize="21600,21600" path="m16559,18726l16558,18725c14884,19942,12869,20597,10800,20597,8730,20597,6715,19942,5041,18725l4451,19537,4450,19537c6295,20877,8518,21600,10799,21600,13079,21600,15302,20877,17147,19537l16559,18726xe">
                <v:path textboxrect="2394,2614,621,3015"/>
                <v:imagedata gain="65536f" blacklevel="0f" gamma="0"/>
                <o:lock v:ext="edit" position="f" selection="f" grouping="f" rotation="f" cropping="f" text="f" aspectratio="f"/>
              </v:shape>
              <v:shape id="AutoShape 10" o:spid="_x0000_s1034" o:spt="100" type="" style="position:absolute;left:1916;top:574;height:3314;width:3327;rotation:0f;" o:ole="f" fillcolor="#A5A5A5" filled="t" o:preferrelative="t" stroked="f" coordorigin="0,0" coordsize="21600,21600" path="m20118,7772l20118,7771c18806,3735,15044,1002,10800,1002,6555,1002,2793,3735,1481,7772l528,7462,527,7461c1973,3011,6120,-1,10799,-1,15478,-1,19624,3012,21070,7462l20118,7772xe">
                <v:path textboxrect="0,0,3015,1042"/>
                <v:imagedata gain="65536f" blacklevel="0f" gamma="0"/>
                <o:lock v:ext="edit" position="f" selection="f" grouping="f" rotation="f" cropping="f" text="f" aspectratio="f"/>
              </v:shape>
              <v:shape id="AutoShape 11" o:spid="_x0000_s1035" o:spt="100" type="" style="position:absolute;left:1916;top:574;height:3314;width:3327;rotation:0f;" o:ole="f" fillcolor="#ED7D31" filled="t" o:preferrelative="t" stroked="f" coordorigin="0,0" coordsize="21600,21600" path="m10799,1002l10798,1002c5387,1002,1001,5388,1001,10799,1001,16211,5387,20598,10799,20598,16210,20598,20597,16211,20597,10800,20597,5388,16210,1002,10799,1002l10799,0,10798,0c4834,0,-1,4835,-1,10799,-1,16764,4834,21600,10799,21600,16763,21600,21599,16764,21599,10800,21599,4835,16763,0,10799,0l10799,1002xe">
                <v:path textboxrect="0,0,3015,21600"/>
                <v:imagedata gain="65536f" blacklevel="0f" gamma="0"/>
                <o:lock v:ext="edit" position="f" selection="f" grouping="f" rotation="f" cropping="f" text="f" aspectratio="f"/>
              </v:shape>
              <v:shape id="Oval 12" o:spid="_x0000_s1036" type="#_x0000_t3" style="position:absolute;left:2492;top:1148;height:2166;width:2175;rotation:0f;" o:ole="f" fillcolor="#8DA9DB" filled="t" o:preferrelative="t" stroked="t" coordorigin="0,0" coordsize="21600,21600">
                <v:stroke color="#FFFFFF" color2="#FFFFFF" miterlimit="2"/>
                <v:imagedata gain="65536f" blacklevel="0f" gamma="0"/>
                <o:lock v:ext="edit" position="f" selection="f" grouping="f" rotation="f" cropping="f" text="f" aspectratio="f"/>
                <v:textbox inset="0.00pt,0.00pt,0.00pt,0.00pt">
                  <w:txbxContent>
                    <w:p>
                      <w:pPr>
                        <w:spacing w:afterLines="35" w:line="216" w:lineRule="auto"/>
                        <w:ind w:firstLine="1120"/>
                        <w:jc w:val="center"/>
                        <w:rPr>
                          <w:rFonts w:ascii="黑体" w:eastAsia="黑体"/>
                          <w:kern w:val="24"/>
                          <w:sz w:val="56"/>
                          <w:szCs w:val="56"/>
                        </w:rPr>
                      </w:pPr>
                    </w:p>
                  </w:txbxContent>
                </v:textbox>
              </v:shape>
              <v:shape id="Oval 13" o:spid="_x0000_s1037" type="#_x0000_t3" style="position:absolute;left:2965;top:0;height:1225;width:1229;rotation:0f;" o:ole="f" fillcolor="#ED7D31" filled="t" o:preferrelative="t" stroked="t" coordorigin="0,0" coordsize="21600,21600">
                <v:stroke color="#FFFFFF" color2="#FFFFFF" miterlimit="2"/>
                <v:imagedata gain="65536f" blacklevel="0f" gamma="0"/>
                <o:lock v:ext="edit" position="f" selection="f" grouping="f" rotation="f" cropping="f" text="f" aspectratio="f"/>
                <v:textbox inset="2.83pt,2.83pt,0.00pt,0.00pt">
                  <w:txbxContent>
                    <w:p>
                      <w:pPr>
                        <w:spacing w:afterLines="35" w:line="216" w:lineRule="auto"/>
                        <w:ind w:firstLine="0" w:firstLineChars="0"/>
                        <w:jc w:val="center"/>
                        <w:rPr>
                          <w:rFonts w:ascii="黑体" w:eastAsia="黑体"/>
                          <w:kern w:val="24"/>
                          <w:szCs w:val="30"/>
                        </w:rPr>
                      </w:pPr>
                      <w:r>
                        <w:rPr>
                          <w:rFonts w:ascii="黑体" w:eastAsia="黑体"/>
                          <w:kern w:val="24"/>
                          <w:sz w:val="28"/>
                          <w:szCs w:val="28"/>
                        </w:rPr>
                        <w:t>老人</w:t>
                      </w:r>
                    </w:p>
                  </w:txbxContent>
                </v:textbox>
              </v:shape>
              <v:shape id="Oval 14" o:spid="_x0000_s1038" type="#_x0000_t3" style="position:absolute;left:4510;top:1119;height:1224;width:1230;rotation:0f;" o:ole="f" fillcolor="#A5A5A5" filled="t" o:preferrelative="t" stroked="t" coordorigin="0,0" coordsize="21600,21600">
                <v:stroke color="#FFFFFF" color2="#FFFFFF" miterlimit="2"/>
                <v:imagedata gain="65536f" blacklevel="0f" gamma="0"/>
                <o:lock v:ext="edit" position="f" selection="f" grouping="f" rotation="f" cropping="f" text="f" aspectratio="f"/>
                <v:textbox inset="2.83pt,2.83pt,0.00pt,0.00pt">
                  <w:txbxContent>
                    <w:p>
                      <w:pPr>
                        <w:spacing w:afterLines="35" w:line="216" w:lineRule="auto"/>
                        <w:ind w:firstLine="0" w:firstLineChars="0"/>
                        <w:jc w:val="center"/>
                        <w:rPr>
                          <w:rFonts w:ascii="黑体" w:eastAsia="黑体"/>
                          <w:kern w:val="24"/>
                          <w:sz w:val="28"/>
                          <w:szCs w:val="28"/>
                        </w:rPr>
                      </w:pPr>
                      <w:r>
                        <w:rPr>
                          <w:rFonts w:ascii="黑体" w:eastAsia="黑体"/>
                          <w:kern w:val="24"/>
                          <w:sz w:val="28"/>
                          <w:szCs w:val="28"/>
                        </w:rPr>
                        <w:t>子女</w:t>
                      </w:r>
                    </w:p>
                  </w:txbxContent>
                </v:textbox>
              </v:shape>
              <v:shape id="Oval 15" o:spid="_x0000_s1039" type="#_x0000_t3" style="position:absolute;left:3920;top:2928;height:1224;width:1229;rotation:0f;" o:ole="f" fillcolor="#FFC000" filled="t" o:preferrelative="t" stroked="t" coordorigin="0,0" coordsize="21600,21600">
                <v:stroke color="#FFFFFF" color2="#FFFFFF" miterlimit="2"/>
                <v:imagedata gain="65536f" blacklevel="0f" gamma="0"/>
                <o:lock v:ext="edit" position="f" selection="f" grouping="f" rotation="f" cropping="f" text="f" aspectratio="f"/>
                <v:textbox inset="2.83pt,5.67pt,0.00pt,0.00pt">
                  <w:txbxContent>
                    <w:p>
                      <w:pPr>
                        <w:spacing w:afterLines="35" w:line="216" w:lineRule="auto"/>
                        <w:ind w:firstLine="0" w:firstLineChars="0"/>
                        <w:jc w:val="center"/>
                        <w:rPr>
                          <w:rFonts w:ascii="黑体" w:eastAsia="黑体"/>
                          <w:kern w:val="24"/>
                          <w:sz w:val="28"/>
                          <w:szCs w:val="28"/>
                        </w:rPr>
                      </w:pPr>
                      <w:r>
                        <w:rPr>
                          <w:rFonts w:ascii="黑体" w:eastAsia="黑体"/>
                          <w:kern w:val="24"/>
                          <w:sz w:val="28"/>
                          <w:szCs w:val="28"/>
                        </w:rPr>
                        <w:t>政府</w:t>
                      </w:r>
                    </w:p>
                  </w:txbxContent>
                </v:textbox>
              </v:shape>
              <v:shape id="Oval 16" o:spid="_x0000_s1040" type="#_x0000_t3" style="position:absolute;left:2010;top:2928;height:1224;width:1229;rotation:0f;" o:ole="f" fillcolor="#8CB3E3" filled="t" o:preferrelative="t" stroked="t" coordorigin="0,0" coordsize="21600,21600">
                <v:stroke color="#FFFFFF" color2="#FFFFFF" miterlimit="2"/>
                <v:imagedata gain="65536f" blacklevel="0f" gamma="0"/>
                <o:lock v:ext="edit" position="f" selection="f" grouping="f" rotation="f" cropping="f" text="f" aspectratio="f"/>
                <v:textbox inset="0.00pt,5.67pt,2.83pt,0.00pt">
                  <w:txbxContent>
                    <w:p>
                      <w:pPr>
                        <w:spacing w:afterLines="34" w:line="240" w:lineRule="exact"/>
                        <w:ind w:firstLine="0" w:firstLineChars="0"/>
                        <w:jc w:val="center"/>
                        <w:rPr>
                          <w:rFonts w:ascii="黑体" w:eastAsia="黑体"/>
                          <w:kern w:val="24"/>
                          <w:sz w:val="24"/>
                        </w:rPr>
                      </w:pPr>
                      <w:r>
                        <w:rPr>
                          <w:rFonts w:ascii="黑体" w:eastAsia="黑体"/>
                          <w:kern w:val="24"/>
                          <w:sz w:val="24"/>
                        </w:rPr>
                        <w:t>医疗</w:t>
                      </w:r>
                    </w:p>
                    <w:p>
                      <w:pPr>
                        <w:spacing w:afterLines="34" w:line="240" w:lineRule="exact"/>
                        <w:ind w:firstLine="0" w:firstLineChars="0"/>
                        <w:jc w:val="center"/>
                        <w:rPr>
                          <w:rFonts w:ascii="黑体" w:eastAsia="黑体"/>
                          <w:kern w:val="24"/>
                          <w:szCs w:val="30"/>
                        </w:rPr>
                      </w:pPr>
                      <w:r>
                        <w:rPr>
                          <w:rFonts w:ascii="黑体" w:eastAsia="黑体"/>
                          <w:kern w:val="24"/>
                          <w:sz w:val="24"/>
                        </w:rPr>
                        <w:t>机构</w:t>
                      </w:r>
                    </w:p>
                  </w:txbxContent>
                </v:textbox>
              </v:shape>
              <v:shape id="Oval 17" o:spid="_x0000_s1041" type="#_x0000_t3" style="position:absolute;left:1384;top:1084;height:1259;width:1265;rotation:0f;" o:ole="f" fillcolor="#70AD47" filled="t" o:preferrelative="t" stroked="t" coordorigin="0,0" coordsize="21600,21600">
                <v:stroke color="#FFFFFF" color2="#FFFFFF" miterlimit="2"/>
                <v:imagedata gain="65536f" blacklevel="0f" gamma="0"/>
                <o:lock v:ext="edit" position="f" selection="f" grouping="f" rotation="f" cropping="f" text="f" aspectratio="f"/>
                <v:textbox inset="2.83pt,2.83pt,0.00pt,0.00pt">
                  <w:txbxContent>
                    <w:p>
                      <w:pPr>
                        <w:spacing w:afterLines="35" w:line="216" w:lineRule="auto"/>
                        <w:ind w:firstLine="0" w:firstLineChars="0"/>
                        <w:rPr>
                          <w:rFonts w:ascii="黑体" w:eastAsia="黑体"/>
                          <w:kern w:val="24"/>
                          <w:szCs w:val="30"/>
                        </w:rPr>
                      </w:pPr>
                      <w:r>
                        <w:rPr>
                          <w:rFonts w:ascii="黑体" w:eastAsia="黑体"/>
                          <w:kern w:val="24"/>
                          <w:sz w:val="24"/>
                        </w:rPr>
                        <w:t>服务方</w:t>
                      </w:r>
                    </w:p>
                  </w:txbxContent>
                </v:textbox>
              </v:shape>
            </v:group>
            <v:group id="组合 55" o:spid="_x0000_s1042" style="position:absolute;left:25;top:12;height:21;width:22;rotation:0f;" coordorigin="0,0" coordsize="24,22">
              <o:lock v:ext="edit" position="f" selection="f" grouping="f" rotation="f" cropping="f" text="f" aspectratio="f"/>
              <v:shape id="椭圆 2" o:spid="_x0000_s1043" type="#_x0000_t3" style="position:absolute;left:0;top:0;height:22;width:24;rotation:0f;" o:ole="f" fillcolor="#2E75B6" filled="t" o:preferrelative="t" stroked="t" coordorigin="0,0" coordsize="21600,21600">
                <v:stroke color="#FFFFFF" color2="#FFFFFF" miterlimit="2"/>
                <v:imagedata gain="65536f" blacklevel="0f" gamma="0"/>
                <o:lock v:ext="edit" position="f" selection="f" grouping="f" rotation="f" cropping="f" text="f" aspectratio="f"/>
                <v:textbox inset="0.00pt,0.00pt,0.00pt,0.00pt">
                  <w:txbxContent>
                    <w:p>
                      <w:pPr>
                        <w:ind w:firstLine="0" w:firstLineChars="0"/>
                        <w:rPr>
                          <w:rFonts w:ascii="黑体" w:hAnsi="黑体" w:eastAsia="黑体"/>
                          <w:b/>
                          <w:bCs/>
                          <w:color w:val="FFFFFF"/>
                          <w:sz w:val="28"/>
                        </w:rPr>
                      </w:pPr>
                    </w:p>
                  </w:txbxContent>
                </v:textbox>
              </v:shape>
              <v:rect id="文本框 3" o:spid="_x0000_s1044" style="position:absolute;left:4;top:5;height:11;width:16;rotation:0f;"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ind w:firstLine="0" w:firstLineChars="0"/>
                        <w:jc w:val="center"/>
                        <w:rPr>
                          <w:rFonts w:ascii="黑体" w:hAnsi="黑体" w:eastAsia="黑体"/>
                          <w:b/>
                          <w:bCs/>
                          <w:color w:val="FFFFFF"/>
                          <w:sz w:val="36"/>
                          <w:szCs w:val="28"/>
                        </w:rPr>
                      </w:pPr>
                      <w:r>
                        <w:rPr>
                          <w:rFonts w:hint="eastAsia" w:ascii="黑体" w:hAnsi="黑体" w:eastAsia="黑体"/>
                          <w:b/>
                          <w:bCs/>
                          <w:color w:val="FFFFFF"/>
                          <w:sz w:val="36"/>
                          <w:szCs w:val="28"/>
                        </w:rPr>
                        <w:t>云平台</w:t>
                      </w:r>
                    </w:p>
                  </w:txbxContent>
                </v:textbox>
              </v:rect>
            </v:group>
            <w10:wrap type="none"/>
            <w10:anchorlock/>
          </v:group>
        </w:pict>
      </w:r>
    </w:p>
    <w:p>
      <w:pPr>
        <w:ind w:firstLine="600"/>
        <w:rPr>
          <w:rFonts w:ascii="仿宋_GB2312" w:eastAsia="仿宋_GB2312"/>
          <w:color w:val="auto"/>
        </w:rPr>
      </w:pPr>
      <w:r>
        <w:rPr>
          <w:rFonts w:hint="eastAsia" w:ascii="仿宋_GB2312" w:eastAsia="仿宋_GB2312"/>
          <w:color w:val="auto"/>
        </w:rPr>
        <w:t>由政府或政府委托的专业评估机构对居家老年人（包括经济、身体、需求等方面）和服务供方进行系统评估后，由各方签署联合契约，并对老年人的住宅和居家生活设施进行适老化改造。服务提供方应结合老年人实际情况提供日常巡访、生活协助、入浴辅助、基础护理、康复训练、心理疏导、健康评估等服务。养老家庭照护床位的计算应以养老服务机构辐射或延伸的服务能力为基准，以一个服务单位所覆盖的服务老年人数量为实际养老家庭照护床位。一个服务单位应配有足够且有不同专业的服务人员，所服务的老年人数量也应保持一定比例，保证服务质量。</w:t>
      </w:r>
    </w:p>
    <w:p>
      <w:pPr>
        <w:ind w:firstLine="600"/>
        <w:rPr>
          <w:rFonts w:ascii="仿宋_GB2312" w:eastAsia="仿宋_GB2312"/>
          <w:color w:val="auto"/>
        </w:rPr>
      </w:pPr>
      <w:r>
        <w:rPr>
          <w:rFonts w:hint="eastAsia" w:ascii="仿宋_GB2312" w:eastAsia="仿宋_GB2312"/>
          <w:color w:val="auto"/>
        </w:rPr>
        <w:t>养老家庭照护床位作为居家养老服务的延伸，在继承了居家养老服务一些特质的同时，也有许多新的特点：强调居家养老服务的固定化、专业化、信息化、一体化和监管，使老年人可以更安心、更安全的接受家庭照护服务，有助于打造更人性、更便捷的养老服务模式。</w:t>
      </w:r>
    </w:p>
    <w:p>
      <w:pPr>
        <w:ind w:firstLine="576"/>
        <w:rPr>
          <w:rFonts w:ascii="仿宋_GB2312" w:eastAsia="仿宋_GB2312"/>
          <w:color w:val="auto"/>
          <w:spacing w:val="-6"/>
        </w:rPr>
      </w:pPr>
      <w:r>
        <w:rPr>
          <w:rFonts w:hint="eastAsia" w:ascii="仿宋_GB2312" w:eastAsia="仿宋_GB2312"/>
          <w:color w:val="auto"/>
          <w:spacing w:val="-6"/>
        </w:rPr>
        <w:t>养老家庭照护床位可以提供类似于机构养老的专业化、系统化服务。其主要特点在于养老家庭照护床位以重度失能老年人为中心，在家中给予养老服务，可以推动现有养老机构向专业化、精准化定位转型，促进养老服务分级分类，形成更加完善的服务体系。</w:t>
      </w:r>
    </w:p>
    <w:p>
      <w:pPr>
        <w:keepNext/>
        <w:keepLines/>
        <w:widowControl w:val="0"/>
        <w:spacing w:before="156" w:beforeLines="50" w:after="156" w:afterLines="50" w:line="264" w:lineRule="auto"/>
        <w:ind w:firstLine="0" w:firstLineChars="0"/>
        <w:jc w:val="both"/>
        <w:outlineLvl w:val="2"/>
        <w:rPr>
          <w:rFonts w:ascii="仿宋_GB2312" w:hAnsi="Times New Roman" w:eastAsia="仿宋_GB2312" w:cs="Times New Roman"/>
          <w:b/>
          <w:bCs/>
          <w:color w:val="auto"/>
          <w:kern w:val="2"/>
          <w:sz w:val="32"/>
          <w:szCs w:val="32"/>
          <w:lang w:val="en-US" w:eastAsia="zh-CN" w:bidi="ar-SA"/>
        </w:rPr>
      </w:pPr>
      <w:bookmarkStart w:id="672" w:name="_Toc11838583"/>
      <w:bookmarkStart w:id="673" w:name="_Toc13549_WPSOffice_Level1"/>
      <w:bookmarkStart w:id="674" w:name="_Toc19262_WPSOffice_Level1"/>
      <w:bookmarkStart w:id="675" w:name="_Toc29950_WPSOffice_Level1"/>
      <w:bookmarkStart w:id="676" w:name="_Toc18345_WPSOffice_Level1"/>
      <w:bookmarkStart w:id="677" w:name="_Toc30070_WPSOffice_Level1"/>
      <w:r>
        <w:rPr>
          <w:rFonts w:hint="eastAsia" w:ascii="仿宋_GB2312" w:hAnsi="Times New Roman" w:eastAsia="仿宋_GB2312" w:cs="Times New Roman"/>
          <w:b/>
          <w:bCs/>
          <w:color w:val="auto"/>
          <w:kern w:val="2"/>
          <w:sz w:val="32"/>
          <w:szCs w:val="32"/>
          <w:lang w:val="en-US" w:eastAsia="zh-CN" w:bidi="ar-SA"/>
        </w:rPr>
        <w:t>8．健康老年人/失能失智老年人</w:t>
      </w:r>
      <w:bookmarkEnd w:id="672"/>
      <w:bookmarkEnd w:id="673"/>
      <w:bookmarkEnd w:id="674"/>
      <w:bookmarkEnd w:id="675"/>
      <w:bookmarkEnd w:id="676"/>
      <w:bookmarkEnd w:id="677"/>
    </w:p>
    <w:p>
      <w:pPr>
        <w:wordWrap w:val="0"/>
        <w:autoSpaceDE w:val="0"/>
        <w:autoSpaceDN w:val="0"/>
        <w:ind w:firstLine="600"/>
        <w:rPr>
          <w:rFonts w:ascii="仿宋_GB2312" w:eastAsia="仿宋_GB2312" w:cs="Times New Roman"/>
          <w:color w:val="auto"/>
          <w:szCs w:val="30"/>
        </w:rPr>
      </w:pPr>
      <w:r>
        <w:rPr>
          <w:rFonts w:hint="eastAsia" w:ascii="仿宋_GB2312" w:eastAsia="仿宋_GB2312" w:cs="Times New Roman"/>
          <w:color w:val="auto"/>
          <w:szCs w:val="30"/>
        </w:rPr>
        <w:t>日常生活行为完全自理，不依赖他人护理的老年人，称为健康老年人。</w:t>
      </w:r>
    </w:p>
    <w:p>
      <w:pPr>
        <w:wordWrap w:val="0"/>
        <w:autoSpaceDE w:val="0"/>
        <w:autoSpaceDN w:val="0"/>
        <w:ind w:firstLine="600"/>
        <w:rPr>
          <w:rFonts w:ascii="仿宋_GB2312" w:eastAsia="仿宋_GB2312" w:cs="Times New Roman"/>
          <w:color w:val="auto"/>
          <w:szCs w:val="30"/>
        </w:rPr>
      </w:pPr>
      <w:r>
        <w:rPr>
          <w:rFonts w:hint="eastAsia" w:ascii="仿宋_GB2312" w:eastAsia="仿宋_GB2312" w:cs="Times New Roman"/>
          <w:color w:val="auto"/>
          <w:szCs w:val="30"/>
        </w:rPr>
        <w:t>日常生活行为不能完全自理，需依赖他人护理的老年人，称为非自理老年人，包括轻度失能老年人、中度失能老年人和重度失能老年人，统称为失能老年人。</w:t>
      </w:r>
    </w:p>
    <w:p>
      <w:pPr>
        <w:wordWrap w:val="0"/>
        <w:autoSpaceDE w:val="0"/>
        <w:autoSpaceDN w:val="0"/>
        <w:ind w:firstLine="600"/>
        <w:rPr>
          <w:rFonts w:ascii="仿宋_GB2312" w:eastAsia="仿宋_GB2312" w:cs="Times New Roman"/>
          <w:color w:val="auto"/>
          <w:szCs w:val="30"/>
        </w:rPr>
      </w:pPr>
      <w:r>
        <w:rPr>
          <w:rFonts w:hint="eastAsia" w:ascii="仿宋_GB2312" w:eastAsia="仿宋_GB2312"/>
          <w:color w:val="auto"/>
        </w:rPr>
        <w:t>因脑部伤害或疾病所导致的渐进性认知功能退化，导致日常生活不能自理，需要依赖他人提供生活照护的老年人称为失智老年人。</w:t>
      </w:r>
    </w:p>
    <w:p>
      <w:pPr>
        <w:keepNext/>
        <w:keepLines/>
        <w:widowControl w:val="0"/>
        <w:spacing w:before="156" w:beforeLines="50" w:after="156" w:afterLines="50" w:line="264" w:lineRule="auto"/>
        <w:ind w:firstLine="602" w:firstLineChars="200"/>
        <w:jc w:val="both"/>
        <w:outlineLvl w:val="3"/>
        <w:rPr>
          <w:rFonts w:ascii="仿宋_GB2312" w:hAnsi="仿宋" w:eastAsia="仿宋_GB2312" w:cs="Times New Roman"/>
          <w:b/>
          <w:bCs/>
          <w:color w:val="auto"/>
          <w:kern w:val="2"/>
          <w:sz w:val="30"/>
          <w:szCs w:val="28"/>
          <w:lang w:val="en-US" w:eastAsia="zh-CN" w:bidi="ar-SA"/>
        </w:rPr>
      </w:pPr>
      <w:r>
        <w:rPr>
          <w:rFonts w:hint="eastAsia" w:ascii="仿宋_GB2312" w:hAnsi="仿宋" w:eastAsia="仿宋_GB2312" w:cs="Times New Roman"/>
          <w:b/>
          <w:bCs/>
          <w:color w:val="auto"/>
          <w:kern w:val="2"/>
          <w:sz w:val="30"/>
          <w:szCs w:val="28"/>
          <w:lang w:val="en-US" w:eastAsia="zh-CN" w:bidi="ar-SA"/>
        </w:rPr>
        <w:t>8.1能力综合评估</w:t>
      </w:r>
    </w:p>
    <w:p>
      <w:pPr>
        <w:ind w:firstLine="600"/>
        <w:rPr>
          <w:rFonts w:ascii="仿宋_GB2312" w:eastAsia="仿宋_GB2312"/>
          <w:color w:val="auto"/>
        </w:rPr>
      </w:pPr>
      <w:r>
        <w:rPr>
          <w:rFonts w:hint="eastAsia" w:ascii="仿宋_GB2312" w:eastAsia="仿宋_GB2312"/>
          <w:color w:val="auto"/>
        </w:rPr>
        <w:t>《北京市老年人能力综合评估实施办法（试行）》规定，能力综合评估从老年人自理和活动能力、认知能力与精神状态、感知觉与沟通能力三个维度进行。</w:t>
      </w:r>
    </w:p>
    <w:p>
      <w:pPr>
        <w:ind w:firstLine="600"/>
        <w:rPr>
          <w:rFonts w:ascii="仿宋_GB2312" w:eastAsia="仿宋_GB2312"/>
          <w:color w:val="auto"/>
        </w:rPr>
      </w:pPr>
      <w:r>
        <w:rPr>
          <w:rFonts w:hint="eastAsia" w:ascii="仿宋_GB2312" w:eastAsia="仿宋_GB2312"/>
          <w:color w:val="auto"/>
        </w:rPr>
        <w:t>从对日常生活自理、活动能力和定向力、记忆力、注意力、回忆力、语言能力，以及意识状态、视觉、听觉等方面进行评估，得出老年人身体失能评估结果。</w:t>
      </w:r>
    </w:p>
    <w:p>
      <w:pPr>
        <w:ind w:firstLine="600"/>
        <w:rPr>
          <w:rFonts w:ascii="仿宋_GB2312" w:eastAsia="仿宋_GB2312"/>
          <w:color w:val="auto"/>
        </w:rPr>
      </w:pPr>
      <w:r>
        <w:rPr>
          <w:rFonts w:hint="eastAsia" w:ascii="仿宋_GB2312" w:eastAsia="仿宋_GB2312"/>
          <w:color w:val="auto"/>
        </w:rPr>
        <w:t>从对日常生活自理、工具性生活自理、活动能力和定向力、记忆力、注意力、回忆力、语言能力、情绪与行为，以及意识状态、视觉、听觉等进行评估，得出认知失智的评估结果。</w:t>
      </w:r>
    </w:p>
    <w:p>
      <w:pPr>
        <w:keepNext/>
        <w:keepLines/>
        <w:widowControl w:val="0"/>
        <w:spacing w:before="156" w:beforeLines="50" w:after="156" w:afterLines="50" w:line="264" w:lineRule="auto"/>
        <w:ind w:firstLine="602" w:firstLineChars="200"/>
        <w:jc w:val="both"/>
        <w:outlineLvl w:val="3"/>
        <w:rPr>
          <w:rFonts w:ascii="仿宋_GB2312" w:hAnsi="仿宋" w:eastAsia="仿宋_GB2312" w:cs="Times New Roman"/>
          <w:b/>
          <w:bCs/>
          <w:color w:val="auto"/>
          <w:kern w:val="2"/>
          <w:sz w:val="30"/>
          <w:szCs w:val="28"/>
          <w:lang w:val="en-US" w:eastAsia="zh-CN" w:bidi="ar-SA"/>
        </w:rPr>
      </w:pPr>
      <w:r>
        <w:rPr>
          <w:rFonts w:hint="eastAsia" w:ascii="仿宋_GB2312" w:hAnsi="仿宋" w:eastAsia="仿宋_GB2312" w:cs="Times New Roman"/>
          <w:b/>
          <w:bCs/>
          <w:color w:val="auto"/>
          <w:kern w:val="2"/>
          <w:sz w:val="30"/>
          <w:szCs w:val="28"/>
          <w:lang w:val="en-US" w:eastAsia="zh-CN" w:bidi="ar-SA"/>
        </w:rPr>
        <w:t>8.2照护需求评估</w:t>
      </w:r>
    </w:p>
    <w:p>
      <w:pPr>
        <w:ind w:firstLine="600"/>
        <w:rPr>
          <w:rFonts w:ascii="仿宋_GB2312" w:eastAsia="仿宋_GB2312"/>
          <w:color w:val="auto"/>
        </w:rPr>
      </w:pPr>
      <w:r>
        <w:rPr>
          <w:rFonts w:hint="eastAsia" w:ascii="仿宋_GB2312" w:eastAsia="仿宋_GB2312"/>
          <w:color w:val="auto"/>
        </w:rPr>
        <w:t>照护需求评估从自理和活动能力、认知能力与精神状态、感知觉与沟通能力、社会参与和支持、特殊照护、居住环境与辅助器具设施等六个维度进行。</w:t>
      </w:r>
    </w:p>
    <w:p>
      <w:pPr>
        <w:ind w:firstLine="568"/>
        <w:rPr>
          <w:rFonts w:ascii="仿宋_GB2312" w:eastAsia="仿宋_GB2312"/>
          <w:color w:val="auto"/>
          <w:spacing w:val="-8"/>
        </w:rPr>
      </w:pPr>
      <w:r>
        <w:rPr>
          <w:rFonts w:hint="eastAsia" w:ascii="仿宋_GB2312" w:eastAsia="仿宋_GB2312"/>
          <w:color w:val="auto"/>
          <w:spacing w:val="-8"/>
        </w:rPr>
        <w:t>对日常生活自理、工具性生活自理、改变和保持身体姿势；定向力、记忆力、注意力、回忆力、语言能力；意识状态、视觉、听觉；社会支持评定量表；常见症状、疾病查询；适老化（无障碍）设施与康复辅助器具配置等方面进行评估，得出照护需求评估结果。</w:t>
      </w:r>
    </w:p>
    <w:p>
      <w:pPr>
        <w:keepNext/>
        <w:keepLines/>
        <w:widowControl w:val="0"/>
        <w:spacing w:before="156" w:beforeLines="50" w:after="156" w:afterLines="50" w:line="264" w:lineRule="auto"/>
        <w:ind w:firstLine="602" w:firstLineChars="200"/>
        <w:jc w:val="both"/>
        <w:outlineLvl w:val="3"/>
        <w:rPr>
          <w:rFonts w:ascii="仿宋_GB2312" w:hAnsi="仿宋" w:eastAsia="仿宋_GB2312" w:cs="Times New Roman"/>
          <w:b/>
          <w:bCs/>
          <w:color w:val="auto"/>
          <w:kern w:val="2"/>
          <w:sz w:val="30"/>
          <w:szCs w:val="28"/>
          <w:lang w:val="en-US" w:eastAsia="zh-CN" w:bidi="ar-SA"/>
        </w:rPr>
      </w:pPr>
      <w:r>
        <w:rPr>
          <w:rFonts w:hint="eastAsia" w:ascii="仿宋_GB2312" w:hAnsi="仿宋" w:eastAsia="仿宋_GB2312" w:cs="Times New Roman"/>
          <w:b/>
          <w:bCs/>
          <w:color w:val="auto"/>
          <w:kern w:val="2"/>
          <w:sz w:val="30"/>
          <w:szCs w:val="28"/>
          <w:lang w:val="en-US" w:eastAsia="zh-CN" w:bidi="ar-SA"/>
        </w:rPr>
        <w:t>8.3照护需求评估与能力综合评估的对应关系</w:t>
      </w:r>
    </w:p>
    <w:p>
      <w:pPr>
        <w:widowControl w:val="0"/>
        <w:spacing w:after="156" w:afterLines="50" w:line="300" w:lineRule="auto"/>
        <w:ind w:firstLine="0" w:firstLineChars="0"/>
        <w:jc w:val="center"/>
        <w:rPr>
          <w:rFonts w:ascii="黑体" w:hAnsi="黑体" w:eastAsia="黑体" w:cs="Times New Roman"/>
          <w:color w:val="auto"/>
          <w:kern w:val="2"/>
          <w:sz w:val="30"/>
          <w:szCs w:val="24"/>
          <w:lang w:val="en-US" w:eastAsia="zh-CN" w:bidi="ar-SA"/>
        </w:rPr>
      </w:pPr>
      <w:r>
        <w:rPr>
          <w:rFonts w:ascii="黑体" w:hAnsi="黑体" w:eastAsia="黑体" w:cs="Times New Roman"/>
          <w:color w:val="auto"/>
          <w:kern w:val="2"/>
          <w:sz w:val="30"/>
          <w:szCs w:val="24"/>
          <w:lang w:val="en-US" w:eastAsia="zh-CN" w:bidi="ar-SA"/>
        </w:rPr>
        <w:t>表</w:t>
      </w:r>
      <w:r>
        <w:rPr>
          <w:rFonts w:hint="eastAsia" w:ascii="黑体" w:hAnsi="黑体" w:eastAsia="黑体" w:cs="Times New Roman"/>
          <w:color w:val="auto"/>
          <w:kern w:val="2"/>
          <w:sz w:val="30"/>
          <w:szCs w:val="24"/>
          <w:lang w:val="en-US" w:eastAsia="zh-CN" w:bidi="ar-SA"/>
        </w:rPr>
        <w:t>40老年人能力等级与照护需求等级对应关系</w:t>
      </w:r>
    </w:p>
    <w:tbl>
      <w:tblPr>
        <w:tblStyle w:val="39"/>
        <w:tblW w:w="5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208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737" w:type="dxa"/>
            <w:vAlign w:val="center"/>
          </w:tcPr>
          <w:p>
            <w:pPr>
              <w:widowControl w:val="0"/>
              <w:spacing w:afterLines="0" w:line="240" w:lineRule="auto"/>
              <w:ind w:firstLine="0" w:firstLineChars="0"/>
              <w:jc w:val="center"/>
              <w:rPr>
                <w:rFonts w:ascii="黑体" w:hAnsi="黑体" w:eastAsia="黑体" w:cs="黑体"/>
                <w:b w:val="0"/>
                <w:bCs/>
                <w:color w:val="auto"/>
                <w:kern w:val="2"/>
                <w:sz w:val="21"/>
                <w:szCs w:val="24"/>
                <w:lang w:val="en-US" w:eastAsia="zh-CN" w:bidi="ar-SA"/>
              </w:rPr>
            </w:pPr>
            <w:r>
              <w:rPr>
                <w:rFonts w:hint="eastAsia" w:ascii="黑体" w:hAnsi="黑体" w:eastAsia="黑体" w:cs="黑体"/>
                <w:b w:val="0"/>
                <w:bCs/>
                <w:color w:val="auto"/>
                <w:kern w:val="2"/>
                <w:sz w:val="21"/>
                <w:szCs w:val="24"/>
                <w:lang w:val="en-US" w:eastAsia="zh-CN" w:bidi="ar-SA"/>
              </w:rPr>
              <w:t>照护需求等级</w:t>
            </w:r>
          </w:p>
        </w:tc>
        <w:tc>
          <w:tcPr>
            <w:tcW w:w="2086" w:type="dxa"/>
            <w:vAlign w:val="center"/>
          </w:tcPr>
          <w:p>
            <w:pPr>
              <w:widowControl w:val="0"/>
              <w:spacing w:afterLines="0" w:line="240" w:lineRule="auto"/>
              <w:ind w:firstLine="0" w:firstLineChars="0"/>
              <w:jc w:val="center"/>
              <w:rPr>
                <w:rFonts w:ascii="黑体" w:hAnsi="黑体" w:eastAsia="黑体" w:cs="黑体"/>
                <w:b w:val="0"/>
                <w:bCs/>
                <w:color w:val="auto"/>
                <w:kern w:val="2"/>
                <w:sz w:val="21"/>
                <w:szCs w:val="24"/>
                <w:lang w:val="en-US" w:eastAsia="zh-CN" w:bidi="ar-SA"/>
              </w:rPr>
            </w:pPr>
            <w:r>
              <w:rPr>
                <w:rFonts w:hint="eastAsia" w:ascii="黑体" w:hAnsi="黑体" w:eastAsia="黑体" w:cs="黑体"/>
                <w:b w:val="0"/>
                <w:bCs/>
                <w:color w:val="auto"/>
                <w:kern w:val="2"/>
                <w:sz w:val="21"/>
                <w:szCs w:val="24"/>
                <w:lang w:val="en-US" w:eastAsia="zh-CN" w:bidi="ar-SA"/>
              </w:rPr>
              <w:t>综合能力评估等级</w:t>
            </w:r>
          </w:p>
        </w:tc>
        <w:tc>
          <w:tcPr>
            <w:tcW w:w="1701" w:type="dxa"/>
            <w:vAlign w:val="center"/>
          </w:tcPr>
          <w:p>
            <w:pPr>
              <w:widowControl w:val="0"/>
              <w:spacing w:afterLines="0" w:line="240" w:lineRule="auto"/>
              <w:ind w:firstLine="0" w:firstLineChars="0"/>
              <w:jc w:val="center"/>
              <w:rPr>
                <w:rFonts w:ascii="黑体" w:hAnsi="黑体" w:eastAsia="黑体" w:cs="黑体"/>
                <w:b w:val="0"/>
                <w:bCs/>
                <w:color w:val="auto"/>
                <w:kern w:val="2"/>
                <w:sz w:val="21"/>
                <w:szCs w:val="24"/>
                <w:lang w:val="en-US" w:eastAsia="zh-CN" w:bidi="ar-SA"/>
              </w:rPr>
            </w:pPr>
            <w:r>
              <w:rPr>
                <w:rFonts w:hint="eastAsia" w:ascii="黑体" w:hAnsi="黑体" w:eastAsia="黑体" w:cs="黑体"/>
                <w:b w:val="0"/>
                <w:bCs/>
                <w:color w:val="auto"/>
                <w:kern w:val="2"/>
                <w:sz w:val="21"/>
                <w:szCs w:val="24"/>
                <w:lang w:val="en-US" w:eastAsia="zh-CN" w:bidi="ar-SA"/>
              </w:rPr>
              <w:t>等级名称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737" w:type="dxa"/>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0</w:t>
            </w:r>
          </w:p>
        </w:tc>
        <w:tc>
          <w:tcPr>
            <w:tcW w:w="2086" w:type="dxa"/>
            <w:vAlign w:val="center"/>
          </w:tcPr>
          <w:p>
            <w:pPr>
              <w:widowControl w:val="0"/>
              <w:spacing w:afterLines="0" w:line="240" w:lineRule="auto"/>
              <w:ind w:firstLine="0" w:firstLineChars="0"/>
              <w:jc w:val="center"/>
              <w:rPr>
                <w:rFonts w:ascii="仿宋_GB2312" w:hAnsi="黑体" w:eastAsia="仿宋_GB2312" w:cs="黑体"/>
                <w:b/>
                <w:bCs/>
                <w:color w:val="auto"/>
                <w:kern w:val="2"/>
                <w:sz w:val="21"/>
                <w:szCs w:val="24"/>
                <w:lang w:val="en-US" w:eastAsia="zh-CN" w:bidi="ar-SA"/>
              </w:rPr>
            </w:pPr>
            <w:r>
              <w:rPr>
                <w:rFonts w:hint="eastAsia" w:ascii="仿宋_GB2312" w:hAnsi="黑体" w:eastAsia="仿宋_GB2312" w:cs="黑体"/>
                <w:b/>
                <w:bCs/>
                <w:color w:val="auto"/>
                <w:kern w:val="2"/>
                <w:sz w:val="21"/>
                <w:szCs w:val="24"/>
                <w:lang w:val="en-US" w:eastAsia="zh-CN" w:bidi="ar-SA"/>
              </w:rPr>
              <w:t>四级</w:t>
            </w:r>
          </w:p>
        </w:tc>
        <w:tc>
          <w:tcPr>
            <w:tcW w:w="1701" w:type="dxa"/>
            <w:vAlign w:val="center"/>
          </w:tcPr>
          <w:p>
            <w:pPr>
              <w:widowControl w:val="0"/>
              <w:spacing w:afterLines="0" w:line="240" w:lineRule="auto"/>
              <w:ind w:firstLine="0" w:firstLineChars="0"/>
              <w:jc w:val="center"/>
              <w:rPr>
                <w:rFonts w:ascii="仿宋_GB2312" w:hAnsi="黑体" w:eastAsia="仿宋_GB2312" w:cs="黑体"/>
                <w:b/>
                <w:bCs/>
                <w:color w:val="auto"/>
                <w:kern w:val="2"/>
                <w:sz w:val="21"/>
                <w:szCs w:val="24"/>
                <w:lang w:val="en-US" w:eastAsia="zh-CN" w:bidi="ar-SA"/>
              </w:rPr>
            </w:pPr>
            <w:r>
              <w:rPr>
                <w:rFonts w:hint="eastAsia" w:ascii="仿宋_GB2312" w:hAnsi="黑体" w:eastAsia="仿宋_GB2312" w:cs="黑体"/>
                <w:b/>
                <w:bCs/>
                <w:color w:val="auto"/>
                <w:kern w:val="2"/>
                <w:sz w:val="21"/>
                <w:szCs w:val="24"/>
                <w:lang w:val="en-US" w:eastAsia="zh-CN" w:bidi="ar-SA"/>
              </w:rPr>
              <w:t>能力完好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737" w:type="dxa"/>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1</w:t>
            </w:r>
          </w:p>
        </w:tc>
        <w:tc>
          <w:tcPr>
            <w:tcW w:w="2086" w:type="dxa"/>
            <w:vMerge w:val="restart"/>
            <w:vAlign w:val="center"/>
          </w:tcPr>
          <w:p>
            <w:pPr>
              <w:widowControl w:val="0"/>
              <w:spacing w:afterLines="0" w:line="240" w:lineRule="auto"/>
              <w:ind w:firstLine="0" w:firstLineChars="0"/>
              <w:jc w:val="center"/>
              <w:rPr>
                <w:rFonts w:ascii="仿宋_GB2312" w:hAnsi="黑体" w:eastAsia="仿宋_GB2312" w:cs="黑体"/>
                <w:b/>
                <w:bCs/>
                <w:color w:val="auto"/>
                <w:kern w:val="2"/>
                <w:sz w:val="21"/>
                <w:szCs w:val="24"/>
                <w:lang w:val="en-US" w:eastAsia="zh-CN" w:bidi="ar-SA"/>
              </w:rPr>
            </w:pPr>
            <w:r>
              <w:rPr>
                <w:rFonts w:hint="eastAsia" w:ascii="仿宋_GB2312" w:hAnsi="黑体" w:eastAsia="仿宋_GB2312" w:cs="黑体"/>
                <w:b/>
                <w:bCs/>
                <w:color w:val="auto"/>
                <w:kern w:val="2"/>
                <w:sz w:val="21"/>
                <w:szCs w:val="24"/>
                <w:lang w:val="en-US" w:eastAsia="zh-CN" w:bidi="ar-SA"/>
              </w:rPr>
              <w:t>三级</w:t>
            </w:r>
          </w:p>
        </w:tc>
        <w:tc>
          <w:tcPr>
            <w:tcW w:w="1701" w:type="dxa"/>
            <w:vMerge w:val="restart"/>
            <w:vAlign w:val="center"/>
          </w:tcPr>
          <w:p>
            <w:pPr>
              <w:widowControl w:val="0"/>
              <w:spacing w:afterLines="0" w:line="240" w:lineRule="auto"/>
              <w:ind w:firstLine="0" w:firstLineChars="0"/>
              <w:jc w:val="center"/>
              <w:rPr>
                <w:rFonts w:ascii="仿宋_GB2312" w:hAnsi="黑体" w:eastAsia="仿宋_GB2312" w:cs="黑体"/>
                <w:b/>
                <w:bCs/>
                <w:color w:val="auto"/>
                <w:kern w:val="2"/>
                <w:sz w:val="21"/>
                <w:szCs w:val="24"/>
                <w:lang w:val="en-US" w:eastAsia="zh-CN" w:bidi="ar-SA"/>
              </w:rPr>
            </w:pPr>
            <w:r>
              <w:rPr>
                <w:rFonts w:hint="eastAsia" w:ascii="仿宋_GB2312" w:hAnsi="黑体" w:eastAsia="仿宋_GB2312" w:cs="黑体"/>
                <w:b/>
                <w:bCs/>
                <w:color w:val="auto"/>
                <w:kern w:val="2"/>
                <w:sz w:val="21"/>
                <w:szCs w:val="24"/>
                <w:lang w:val="en-US" w:eastAsia="zh-CN" w:bidi="ar-SA"/>
              </w:rPr>
              <w:t>轻度失能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737" w:type="dxa"/>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2</w:t>
            </w:r>
          </w:p>
        </w:tc>
        <w:tc>
          <w:tcPr>
            <w:tcW w:w="2086" w:type="dxa"/>
            <w:vMerge w:val="continue"/>
            <w:vAlign w:val="center"/>
          </w:tcPr>
          <w:p>
            <w:pPr>
              <w:widowControl w:val="0"/>
              <w:spacing w:afterLines="0" w:line="240" w:lineRule="auto"/>
              <w:ind w:firstLine="0" w:firstLineChars="0"/>
              <w:jc w:val="center"/>
              <w:rPr>
                <w:rFonts w:ascii="仿宋_GB2312" w:hAnsi="黑体" w:eastAsia="仿宋_GB2312" w:cs="黑体"/>
                <w:b/>
                <w:bCs/>
                <w:color w:val="auto"/>
                <w:kern w:val="2"/>
                <w:sz w:val="21"/>
                <w:szCs w:val="24"/>
                <w:lang w:val="en-US" w:eastAsia="zh-CN" w:bidi="ar-SA"/>
              </w:rPr>
            </w:pPr>
          </w:p>
        </w:tc>
        <w:tc>
          <w:tcPr>
            <w:tcW w:w="1701" w:type="dxa"/>
            <w:vMerge w:val="continue"/>
            <w:vAlign w:val="center"/>
          </w:tcPr>
          <w:p>
            <w:pPr>
              <w:widowControl w:val="0"/>
              <w:spacing w:afterLines="0" w:line="240" w:lineRule="auto"/>
              <w:ind w:firstLine="0" w:firstLineChars="0"/>
              <w:jc w:val="center"/>
              <w:rPr>
                <w:rFonts w:ascii="仿宋_GB2312" w:hAnsi="黑体" w:eastAsia="仿宋_GB2312" w:cs="黑体"/>
                <w:b/>
                <w:bCs/>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737" w:type="dxa"/>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3</w:t>
            </w:r>
          </w:p>
        </w:tc>
        <w:tc>
          <w:tcPr>
            <w:tcW w:w="2086" w:type="dxa"/>
            <w:vMerge w:val="restart"/>
            <w:vAlign w:val="center"/>
          </w:tcPr>
          <w:p>
            <w:pPr>
              <w:widowControl w:val="0"/>
              <w:spacing w:afterLines="0" w:line="240" w:lineRule="auto"/>
              <w:ind w:firstLine="0" w:firstLineChars="0"/>
              <w:jc w:val="center"/>
              <w:rPr>
                <w:rFonts w:ascii="仿宋_GB2312" w:hAnsi="黑体" w:eastAsia="仿宋_GB2312" w:cs="黑体"/>
                <w:b/>
                <w:bCs/>
                <w:color w:val="auto"/>
                <w:kern w:val="2"/>
                <w:sz w:val="21"/>
                <w:szCs w:val="24"/>
                <w:lang w:val="en-US" w:eastAsia="zh-CN" w:bidi="ar-SA"/>
              </w:rPr>
            </w:pPr>
            <w:r>
              <w:rPr>
                <w:rFonts w:hint="eastAsia" w:ascii="仿宋_GB2312" w:hAnsi="黑体" w:eastAsia="仿宋_GB2312" w:cs="黑体"/>
                <w:b/>
                <w:bCs/>
                <w:color w:val="auto"/>
                <w:kern w:val="2"/>
                <w:sz w:val="21"/>
                <w:szCs w:val="24"/>
                <w:lang w:val="en-US" w:eastAsia="zh-CN" w:bidi="ar-SA"/>
              </w:rPr>
              <w:t>二级</w:t>
            </w:r>
          </w:p>
        </w:tc>
        <w:tc>
          <w:tcPr>
            <w:tcW w:w="1701" w:type="dxa"/>
            <w:vMerge w:val="restart"/>
            <w:vAlign w:val="center"/>
          </w:tcPr>
          <w:p>
            <w:pPr>
              <w:widowControl w:val="0"/>
              <w:spacing w:afterLines="0" w:line="240" w:lineRule="auto"/>
              <w:ind w:firstLine="0" w:firstLineChars="0"/>
              <w:jc w:val="center"/>
              <w:rPr>
                <w:rFonts w:ascii="仿宋_GB2312" w:hAnsi="黑体" w:eastAsia="仿宋_GB2312" w:cs="黑体"/>
                <w:b/>
                <w:bCs/>
                <w:color w:val="auto"/>
                <w:kern w:val="2"/>
                <w:sz w:val="21"/>
                <w:szCs w:val="24"/>
                <w:lang w:val="en-US" w:eastAsia="zh-CN" w:bidi="ar-SA"/>
              </w:rPr>
            </w:pPr>
            <w:r>
              <w:rPr>
                <w:rFonts w:hint="eastAsia" w:ascii="仿宋_GB2312" w:hAnsi="黑体" w:eastAsia="仿宋_GB2312" w:cs="黑体"/>
                <w:b/>
                <w:bCs/>
                <w:color w:val="auto"/>
                <w:kern w:val="2"/>
                <w:sz w:val="21"/>
                <w:szCs w:val="24"/>
                <w:lang w:val="en-US" w:eastAsia="zh-CN" w:bidi="ar-SA"/>
              </w:rPr>
              <w:t>中度失能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737" w:type="dxa"/>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4</w:t>
            </w:r>
          </w:p>
        </w:tc>
        <w:tc>
          <w:tcPr>
            <w:tcW w:w="2086" w:type="dxa"/>
            <w:vMerge w:val="continue"/>
            <w:vAlign w:val="center"/>
          </w:tcPr>
          <w:p>
            <w:pPr>
              <w:widowControl w:val="0"/>
              <w:spacing w:afterLines="0" w:line="240" w:lineRule="auto"/>
              <w:ind w:firstLine="0" w:firstLineChars="0"/>
              <w:jc w:val="center"/>
              <w:rPr>
                <w:rFonts w:ascii="仿宋_GB2312" w:hAnsi="黑体" w:eastAsia="仿宋_GB2312" w:cs="黑体"/>
                <w:b/>
                <w:bCs/>
                <w:color w:val="auto"/>
                <w:kern w:val="2"/>
                <w:sz w:val="21"/>
                <w:szCs w:val="24"/>
                <w:lang w:val="en-US" w:eastAsia="zh-CN" w:bidi="ar-SA"/>
              </w:rPr>
            </w:pPr>
          </w:p>
        </w:tc>
        <w:tc>
          <w:tcPr>
            <w:tcW w:w="1701" w:type="dxa"/>
            <w:vMerge w:val="continue"/>
            <w:vAlign w:val="center"/>
          </w:tcPr>
          <w:p>
            <w:pPr>
              <w:widowControl w:val="0"/>
              <w:spacing w:afterLines="0" w:line="240" w:lineRule="auto"/>
              <w:ind w:firstLine="0" w:firstLineChars="0"/>
              <w:jc w:val="center"/>
              <w:rPr>
                <w:rFonts w:ascii="仿宋_GB2312" w:hAnsi="黑体" w:eastAsia="仿宋_GB2312" w:cs="黑体"/>
                <w:b/>
                <w:bCs/>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737" w:type="dxa"/>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5</w:t>
            </w:r>
          </w:p>
        </w:tc>
        <w:tc>
          <w:tcPr>
            <w:tcW w:w="2086" w:type="dxa"/>
            <w:vMerge w:val="continue"/>
            <w:vAlign w:val="center"/>
          </w:tcPr>
          <w:p>
            <w:pPr>
              <w:widowControl w:val="0"/>
              <w:spacing w:afterLines="0" w:line="240" w:lineRule="auto"/>
              <w:ind w:firstLine="0" w:firstLineChars="0"/>
              <w:jc w:val="center"/>
              <w:rPr>
                <w:rFonts w:ascii="仿宋_GB2312" w:hAnsi="黑体" w:eastAsia="仿宋_GB2312" w:cs="黑体"/>
                <w:b/>
                <w:bCs/>
                <w:color w:val="auto"/>
                <w:kern w:val="2"/>
                <w:sz w:val="21"/>
                <w:szCs w:val="24"/>
                <w:lang w:val="en-US" w:eastAsia="zh-CN" w:bidi="ar-SA"/>
              </w:rPr>
            </w:pPr>
          </w:p>
        </w:tc>
        <w:tc>
          <w:tcPr>
            <w:tcW w:w="1701" w:type="dxa"/>
            <w:vMerge w:val="continue"/>
            <w:vAlign w:val="center"/>
          </w:tcPr>
          <w:p>
            <w:pPr>
              <w:widowControl w:val="0"/>
              <w:spacing w:afterLines="0" w:line="240" w:lineRule="auto"/>
              <w:ind w:firstLine="0" w:firstLineChars="0"/>
              <w:jc w:val="center"/>
              <w:rPr>
                <w:rFonts w:ascii="仿宋_GB2312" w:hAnsi="黑体" w:eastAsia="仿宋_GB2312" w:cs="黑体"/>
                <w:b/>
                <w:bCs/>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737" w:type="dxa"/>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6</w:t>
            </w:r>
          </w:p>
        </w:tc>
        <w:tc>
          <w:tcPr>
            <w:tcW w:w="2086" w:type="dxa"/>
            <w:vMerge w:val="restart"/>
            <w:vAlign w:val="center"/>
          </w:tcPr>
          <w:p>
            <w:pPr>
              <w:widowControl w:val="0"/>
              <w:spacing w:afterLines="0" w:line="240" w:lineRule="auto"/>
              <w:ind w:firstLine="0" w:firstLineChars="0"/>
              <w:jc w:val="center"/>
              <w:rPr>
                <w:rFonts w:ascii="仿宋_GB2312" w:hAnsi="黑体" w:eastAsia="仿宋_GB2312" w:cs="黑体"/>
                <w:b/>
                <w:bCs/>
                <w:color w:val="auto"/>
                <w:kern w:val="2"/>
                <w:sz w:val="21"/>
                <w:szCs w:val="24"/>
                <w:lang w:val="en-US" w:eastAsia="zh-CN" w:bidi="ar-SA"/>
              </w:rPr>
            </w:pPr>
            <w:r>
              <w:rPr>
                <w:rFonts w:hint="eastAsia" w:ascii="仿宋_GB2312" w:hAnsi="黑体" w:eastAsia="仿宋_GB2312" w:cs="黑体"/>
                <w:b/>
                <w:bCs/>
                <w:color w:val="auto"/>
                <w:kern w:val="2"/>
                <w:sz w:val="21"/>
                <w:szCs w:val="24"/>
                <w:lang w:val="en-US" w:eastAsia="zh-CN" w:bidi="ar-SA"/>
              </w:rPr>
              <w:t>一级</w:t>
            </w:r>
          </w:p>
        </w:tc>
        <w:tc>
          <w:tcPr>
            <w:tcW w:w="1701" w:type="dxa"/>
            <w:vMerge w:val="restart"/>
            <w:vAlign w:val="center"/>
          </w:tcPr>
          <w:p>
            <w:pPr>
              <w:widowControl w:val="0"/>
              <w:spacing w:afterLines="0" w:line="240" w:lineRule="auto"/>
              <w:ind w:firstLine="0" w:firstLineChars="0"/>
              <w:jc w:val="center"/>
              <w:rPr>
                <w:rFonts w:ascii="仿宋_GB2312" w:hAnsi="黑体" w:eastAsia="仿宋_GB2312" w:cs="黑体"/>
                <w:b/>
                <w:bCs/>
                <w:color w:val="auto"/>
                <w:kern w:val="2"/>
                <w:sz w:val="21"/>
                <w:szCs w:val="24"/>
                <w:lang w:val="en-US" w:eastAsia="zh-CN" w:bidi="ar-SA"/>
              </w:rPr>
            </w:pPr>
            <w:r>
              <w:rPr>
                <w:rFonts w:hint="eastAsia" w:ascii="仿宋_GB2312" w:hAnsi="黑体" w:eastAsia="仿宋_GB2312" w:cs="黑体"/>
                <w:b/>
                <w:bCs/>
                <w:color w:val="auto"/>
                <w:kern w:val="2"/>
                <w:sz w:val="21"/>
                <w:szCs w:val="24"/>
                <w:lang w:val="en-US" w:eastAsia="zh-CN" w:bidi="ar-SA"/>
              </w:rPr>
              <w:t>重度失能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1737" w:type="dxa"/>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7</w:t>
            </w:r>
          </w:p>
        </w:tc>
        <w:tc>
          <w:tcPr>
            <w:tcW w:w="2086" w:type="dxa"/>
            <w:vMerge w:val="continue"/>
            <w:vAlign w:val="center"/>
          </w:tcPr>
          <w:p>
            <w:pPr>
              <w:widowControl w:val="0"/>
              <w:spacing w:afterLines="0" w:line="240" w:lineRule="auto"/>
              <w:ind w:firstLine="0" w:firstLineChars="0"/>
              <w:jc w:val="center"/>
              <w:rPr>
                <w:rFonts w:ascii="黑体" w:hAnsi="黑体" w:eastAsia="仿宋" w:cs="黑体"/>
                <w:b/>
                <w:bCs/>
                <w:color w:val="auto"/>
                <w:kern w:val="2"/>
                <w:sz w:val="21"/>
                <w:szCs w:val="24"/>
                <w:lang w:val="en-US" w:eastAsia="zh-CN" w:bidi="ar-SA"/>
              </w:rPr>
            </w:pPr>
          </w:p>
        </w:tc>
        <w:tc>
          <w:tcPr>
            <w:tcW w:w="1701" w:type="dxa"/>
            <w:vMerge w:val="continue"/>
            <w:vAlign w:val="center"/>
          </w:tcPr>
          <w:p>
            <w:pPr>
              <w:widowControl w:val="0"/>
              <w:spacing w:afterLines="0" w:line="240" w:lineRule="auto"/>
              <w:ind w:firstLine="0" w:firstLineChars="0"/>
              <w:jc w:val="center"/>
              <w:rPr>
                <w:rFonts w:ascii="黑体" w:hAnsi="黑体" w:eastAsia="仿宋" w:cs="黑体"/>
                <w:b/>
                <w:bCs/>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1737" w:type="dxa"/>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8</w:t>
            </w:r>
          </w:p>
        </w:tc>
        <w:tc>
          <w:tcPr>
            <w:tcW w:w="2086" w:type="dxa"/>
            <w:vMerge w:val="continue"/>
            <w:vAlign w:val="center"/>
          </w:tcPr>
          <w:p>
            <w:pPr>
              <w:widowControl w:val="0"/>
              <w:spacing w:afterLines="0" w:line="240" w:lineRule="auto"/>
              <w:ind w:firstLine="0" w:firstLineChars="0"/>
              <w:jc w:val="center"/>
              <w:rPr>
                <w:rFonts w:ascii="黑体" w:hAnsi="黑体" w:eastAsia="仿宋" w:cs="黑体"/>
                <w:b/>
                <w:bCs/>
                <w:color w:val="auto"/>
                <w:kern w:val="2"/>
                <w:sz w:val="21"/>
                <w:szCs w:val="24"/>
                <w:lang w:val="en-US" w:eastAsia="zh-CN" w:bidi="ar-SA"/>
              </w:rPr>
            </w:pPr>
          </w:p>
        </w:tc>
        <w:tc>
          <w:tcPr>
            <w:tcW w:w="1701" w:type="dxa"/>
            <w:vMerge w:val="continue"/>
            <w:vAlign w:val="center"/>
          </w:tcPr>
          <w:p>
            <w:pPr>
              <w:widowControl w:val="0"/>
              <w:spacing w:afterLines="0" w:line="240" w:lineRule="auto"/>
              <w:ind w:firstLine="0" w:firstLineChars="0"/>
              <w:jc w:val="center"/>
              <w:rPr>
                <w:rFonts w:ascii="黑体" w:hAnsi="黑体" w:eastAsia="仿宋" w:cs="黑体"/>
                <w:b/>
                <w:bCs/>
                <w:color w:val="auto"/>
                <w:kern w:val="2"/>
                <w:sz w:val="21"/>
                <w:szCs w:val="24"/>
                <w:lang w:val="en-US" w:eastAsia="zh-CN" w:bidi="ar-SA"/>
              </w:rPr>
            </w:pPr>
          </w:p>
        </w:tc>
      </w:tr>
    </w:tbl>
    <w:p>
      <w:pPr>
        <w:ind w:firstLine="600"/>
        <w:rPr>
          <w:rFonts w:ascii="仿宋_GB2312" w:eastAsia="仿宋_GB2312"/>
          <w:color w:val="auto"/>
        </w:rPr>
      </w:pPr>
      <w:bookmarkStart w:id="678" w:name="_Toc1917_WPSOffice_Level1"/>
      <w:bookmarkStart w:id="679" w:name="_Toc15886_WPSOffice_Level1"/>
      <w:bookmarkStart w:id="680" w:name="_Toc1509_WPSOffice_Level1"/>
      <w:bookmarkStart w:id="681" w:name="_Toc16109_WPSOffice_Level1"/>
      <w:bookmarkStart w:id="682" w:name="_Toc21155_WPSOffice_Level1"/>
      <w:bookmarkStart w:id="683" w:name="_Toc11838589"/>
      <w:r>
        <w:rPr>
          <w:rFonts w:hint="eastAsia" w:ascii="仿宋_GB2312" w:eastAsia="仿宋_GB2312"/>
          <w:color w:val="auto"/>
        </w:rPr>
        <w:t>照护需求评估结果分为0级-8级，共9个级别。其中0级对应能力综合评估四级(正常)、1-2级对应能力综合评估三级(轻度)、3-5级对应能力综合评估二级(中度)、6-8级对应能力综合评估一级(重度)。</w:t>
      </w:r>
    </w:p>
    <w:p>
      <w:pPr>
        <w:keepNext/>
        <w:keepLines/>
        <w:widowControl w:val="0"/>
        <w:spacing w:before="156" w:beforeLines="50" w:after="156" w:afterLines="50" w:line="264" w:lineRule="auto"/>
        <w:ind w:firstLine="0" w:firstLineChars="0"/>
        <w:jc w:val="both"/>
        <w:outlineLvl w:val="2"/>
        <w:rPr>
          <w:rFonts w:ascii="仿宋_GB2312" w:hAnsi="Times New Roman" w:eastAsia="仿宋_GB2312" w:cs="Times New Roman"/>
          <w:b/>
          <w:bCs/>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9．十五分钟生活圈居住区</w:t>
      </w:r>
      <w:bookmarkEnd w:id="678"/>
      <w:bookmarkEnd w:id="679"/>
      <w:bookmarkEnd w:id="680"/>
      <w:bookmarkEnd w:id="681"/>
      <w:bookmarkEnd w:id="682"/>
      <w:bookmarkEnd w:id="683"/>
    </w:p>
    <w:p>
      <w:pPr>
        <w:ind w:firstLine="600"/>
        <w:rPr>
          <w:rFonts w:ascii="仿宋_GB2312" w:eastAsia="仿宋_GB2312"/>
          <w:color w:val="auto"/>
        </w:rPr>
      </w:pPr>
      <w:r>
        <w:rPr>
          <w:rFonts w:hint="eastAsia" w:ascii="仿宋_GB2312" w:eastAsia="仿宋_GB2312"/>
          <w:color w:val="auto"/>
        </w:rPr>
        <w:t>以居民步行十五分钟可满足其物质与生活文化需求为原则划分的居住范围；一般是指由城市干路或用地边界线所围合，居住人口规模为5万人到10万人（约1.7万套至3.2万套住宅），配套设施完善的地区。</w:t>
      </w:r>
      <w:bookmarkStart w:id="684" w:name="_Toc5750_WPSOffice_Level1"/>
      <w:bookmarkStart w:id="685" w:name="_Toc9579_WPSOffice_Level1"/>
      <w:bookmarkStart w:id="686" w:name="_Toc17167_WPSOffice_Level1"/>
      <w:bookmarkStart w:id="687" w:name="_Toc4361_WPSOffice_Level1"/>
      <w:bookmarkStart w:id="688" w:name="_Toc11838590"/>
      <w:bookmarkStart w:id="689" w:name="_Toc7361_WPSOffice_Level1"/>
    </w:p>
    <w:p>
      <w:pPr>
        <w:keepNext/>
        <w:keepLines/>
        <w:widowControl w:val="0"/>
        <w:spacing w:before="156" w:beforeLines="50" w:after="156" w:afterLines="50" w:line="264" w:lineRule="auto"/>
        <w:ind w:firstLine="0" w:firstLineChars="0"/>
        <w:jc w:val="both"/>
        <w:outlineLvl w:val="2"/>
        <w:rPr>
          <w:rFonts w:ascii="仿宋_GB2312" w:hAnsi="Times New Roman" w:eastAsia="仿宋_GB2312" w:cs="Times New Roman"/>
          <w:b/>
          <w:bCs/>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10．养老服务联合体</w:t>
      </w:r>
      <w:bookmarkEnd w:id="684"/>
      <w:bookmarkEnd w:id="685"/>
      <w:bookmarkEnd w:id="686"/>
      <w:bookmarkEnd w:id="687"/>
      <w:bookmarkEnd w:id="688"/>
      <w:bookmarkEnd w:id="689"/>
    </w:p>
    <w:p>
      <w:pPr>
        <w:ind w:firstLine="600"/>
        <w:rPr>
          <w:rFonts w:ascii="仿宋_GB2312" w:eastAsia="仿宋_GB2312"/>
          <w:color w:val="auto"/>
        </w:rPr>
      </w:pPr>
      <w:r>
        <w:rPr>
          <w:rFonts w:hint="eastAsia" w:ascii="仿宋_GB2312" w:eastAsia="仿宋_GB2312"/>
          <w:color w:val="auto"/>
        </w:rPr>
        <w:t>以街道（乡镇）为基本单元，由街道（乡镇）养老照料中心以及其他机构养老服务设施、社区养老服务驿站、残疾人托养所、社区助残服务中心、儿童之家等共同构成的服务联合体系，就近为绝大多数老年人、残疾人、困境儿童提供便捷、持续、多样化的养老服务。</w:t>
      </w:r>
    </w:p>
    <w:p>
      <w:pPr>
        <w:keepNext/>
        <w:keepLines/>
        <w:widowControl w:val="0"/>
        <w:spacing w:before="156" w:beforeLines="50" w:after="156" w:afterLines="50" w:line="264" w:lineRule="auto"/>
        <w:ind w:firstLine="0" w:firstLineChars="0"/>
        <w:jc w:val="both"/>
        <w:outlineLvl w:val="2"/>
        <w:rPr>
          <w:rFonts w:ascii="仿宋_GB2312" w:hAnsi="Times New Roman" w:eastAsia="仿宋_GB2312" w:cs="Times New Roman"/>
          <w:b/>
          <w:bCs/>
          <w:color w:val="auto"/>
          <w:kern w:val="2"/>
          <w:sz w:val="32"/>
          <w:szCs w:val="32"/>
          <w:lang w:val="en-US" w:eastAsia="zh-CN" w:bidi="ar-SA"/>
        </w:rPr>
      </w:pPr>
      <w:bookmarkStart w:id="690" w:name="_Toc21318_WPSOffice_Level1"/>
      <w:bookmarkStart w:id="691" w:name="_Toc5209_WPSOffice_Level1"/>
      <w:bookmarkStart w:id="692" w:name="_Toc20456_WPSOffice_Level1"/>
      <w:bookmarkStart w:id="693" w:name="_Toc19007_WPSOffice_Level1"/>
      <w:bookmarkStart w:id="694" w:name="_Toc7162_WPSOffice_Level1"/>
      <w:bookmarkStart w:id="695" w:name="_Toc11838591"/>
      <w:r>
        <w:rPr>
          <w:rFonts w:hint="eastAsia" w:ascii="仿宋_GB2312" w:hAnsi="Times New Roman" w:eastAsia="仿宋_GB2312" w:cs="Times New Roman"/>
          <w:b/>
          <w:bCs/>
          <w:color w:val="auto"/>
          <w:kern w:val="2"/>
          <w:sz w:val="32"/>
          <w:szCs w:val="32"/>
          <w:lang w:val="en-US" w:eastAsia="zh-CN" w:bidi="ar-SA"/>
        </w:rPr>
        <w:t>11．智慧养老社区</w:t>
      </w:r>
      <w:bookmarkEnd w:id="690"/>
      <w:bookmarkEnd w:id="691"/>
      <w:bookmarkEnd w:id="692"/>
      <w:bookmarkEnd w:id="693"/>
      <w:bookmarkEnd w:id="694"/>
      <w:bookmarkEnd w:id="695"/>
    </w:p>
    <w:p>
      <w:pPr>
        <w:ind w:firstLine="600"/>
        <w:rPr>
          <w:rFonts w:ascii="仿宋_GB2312" w:eastAsia="仿宋_GB2312"/>
          <w:color w:val="auto"/>
        </w:rPr>
      </w:pPr>
      <w:r>
        <w:rPr>
          <w:rFonts w:hint="eastAsia" w:ascii="仿宋_GB2312" w:eastAsia="仿宋_GB2312"/>
          <w:color w:val="auto"/>
        </w:rPr>
        <w:t>促进“互联网+”与养老服务业的融合，通过养老服务信息平台、智慧养老公共服务平台以及老年人居家呼叫服务系统和应急救援服务网络，利用智能产品终端的老年人提供紧急呼叫、家政预约、健康咨询、物品代购、服务缴费、线上线下等老年需求服务项目，实现机构、社区与居民之间养老信息和资源的互通共享，实现居家养老服务数字化、网络化、动态化和智能化。</w:t>
      </w:r>
    </w:p>
    <w:p>
      <w:pPr>
        <w:keepNext/>
        <w:keepLines/>
        <w:widowControl w:val="0"/>
        <w:spacing w:before="156" w:beforeLines="50" w:after="156" w:afterLines="50" w:line="264" w:lineRule="auto"/>
        <w:ind w:firstLine="0" w:firstLineChars="0"/>
        <w:jc w:val="both"/>
        <w:outlineLvl w:val="2"/>
        <w:rPr>
          <w:rFonts w:ascii="仿宋_GB2312" w:hAnsi="Times New Roman" w:eastAsia="仿宋_GB2312" w:cs="Times New Roman"/>
          <w:b/>
          <w:bCs/>
          <w:color w:val="auto"/>
          <w:kern w:val="2"/>
          <w:sz w:val="32"/>
          <w:szCs w:val="32"/>
          <w:lang w:val="en-US" w:eastAsia="zh-CN" w:bidi="ar-SA"/>
        </w:rPr>
      </w:pPr>
      <w:bookmarkStart w:id="696" w:name="_Toc12950_WPSOffice_Level1"/>
      <w:bookmarkStart w:id="697" w:name="_Toc266_WPSOffice_Level1"/>
      <w:bookmarkStart w:id="698" w:name="_Toc11838592"/>
      <w:bookmarkStart w:id="699" w:name="_Toc4446_WPSOffice_Level1"/>
      <w:bookmarkStart w:id="700" w:name="_Toc1657_WPSOffice_Level1"/>
      <w:bookmarkStart w:id="701" w:name="_Toc8589_WPSOffice_Level1"/>
      <w:r>
        <w:rPr>
          <w:rFonts w:hint="eastAsia" w:ascii="仿宋_GB2312" w:hAnsi="Times New Roman" w:eastAsia="仿宋_GB2312" w:cs="Times New Roman"/>
          <w:b/>
          <w:bCs/>
          <w:color w:val="auto"/>
          <w:kern w:val="2"/>
          <w:sz w:val="32"/>
          <w:szCs w:val="32"/>
          <w:lang w:val="en-US" w:eastAsia="zh-CN" w:bidi="ar-SA"/>
        </w:rPr>
        <w:t>12．养老产业和养老事业</w:t>
      </w:r>
      <w:bookmarkEnd w:id="696"/>
      <w:bookmarkEnd w:id="697"/>
      <w:bookmarkEnd w:id="698"/>
      <w:bookmarkEnd w:id="699"/>
      <w:bookmarkEnd w:id="700"/>
      <w:bookmarkEnd w:id="701"/>
    </w:p>
    <w:p>
      <w:pPr>
        <w:ind w:firstLine="600"/>
        <w:rPr>
          <w:rFonts w:ascii="仿宋_GB2312" w:eastAsia="仿宋_GB2312"/>
          <w:color w:val="auto"/>
        </w:rPr>
      </w:pPr>
      <w:r>
        <w:rPr>
          <w:rFonts w:hint="eastAsia" w:ascii="仿宋_GB2312" w:eastAsia="仿宋_GB2312"/>
          <w:color w:val="auto"/>
        </w:rPr>
        <w:t>养老产业的需求对象不但包括法定退休年龄以上的老年人，还包括法定退休年龄以下的准老年人，陪伴老年人的家庭、亲属等。养老事业的需求对象，是法定退休年龄以上的老年人，且是经济困难、高龄、独居等特定老年人。从养老供给角度讲，养老产业供给的内容、价格是由供需双方确定的或是由市场确定的，而养老事业供给内容与价格是由政府或公益机构单方面确定的。总体而言，养老产业是满足较高层次的养老需求，养老事业是满足基本的养老需求。</w:t>
      </w:r>
    </w:p>
    <w:p>
      <w:pPr>
        <w:keepNext/>
        <w:keepLines/>
        <w:widowControl w:val="0"/>
        <w:spacing w:before="156" w:beforeLines="50" w:after="156" w:afterLines="50" w:line="264" w:lineRule="auto"/>
        <w:ind w:firstLine="0" w:firstLineChars="0"/>
        <w:jc w:val="both"/>
        <w:outlineLvl w:val="2"/>
        <w:rPr>
          <w:rFonts w:ascii="仿宋_GB2312" w:hAnsi="Times New Roman" w:eastAsia="仿宋_GB2312" w:cs="Times New Roman"/>
          <w:b/>
          <w:bCs/>
          <w:color w:val="auto"/>
          <w:kern w:val="2"/>
          <w:sz w:val="32"/>
          <w:szCs w:val="32"/>
          <w:lang w:val="en-US" w:eastAsia="zh-CN" w:bidi="ar-SA"/>
        </w:rPr>
      </w:pPr>
      <w:bookmarkStart w:id="702" w:name="_Toc14400_WPSOffice_Level1"/>
      <w:bookmarkStart w:id="703" w:name="_Toc30550_WPSOffice_Level1"/>
      <w:bookmarkStart w:id="704" w:name="_Toc11838593"/>
      <w:bookmarkStart w:id="705" w:name="_Toc32345_WPSOffice_Level1"/>
      <w:bookmarkStart w:id="706" w:name="_Toc26673_WPSOffice_Level1"/>
      <w:bookmarkStart w:id="707" w:name="_Toc31054_WPSOffice_Level1"/>
      <w:r>
        <w:rPr>
          <w:rFonts w:hint="eastAsia" w:ascii="仿宋_GB2312" w:hAnsi="Times New Roman" w:eastAsia="仿宋_GB2312" w:cs="Times New Roman"/>
          <w:b/>
          <w:bCs/>
          <w:color w:val="auto"/>
          <w:kern w:val="2"/>
          <w:sz w:val="32"/>
          <w:szCs w:val="32"/>
          <w:lang w:val="en-US" w:eastAsia="zh-CN" w:bidi="ar-SA"/>
        </w:rPr>
        <w:t>13．老年人口</w:t>
      </w:r>
      <w:bookmarkEnd w:id="702"/>
      <w:bookmarkEnd w:id="703"/>
      <w:bookmarkEnd w:id="704"/>
      <w:bookmarkEnd w:id="705"/>
      <w:bookmarkEnd w:id="706"/>
      <w:bookmarkEnd w:id="707"/>
    </w:p>
    <w:p>
      <w:pPr>
        <w:keepNext/>
        <w:keepLines/>
        <w:widowControl w:val="0"/>
        <w:spacing w:before="156" w:beforeLines="50" w:after="156" w:afterLines="50" w:line="264" w:lineRule="auto"/>
        <w:ind w:firstLine="602" w:firstLineChars="200"/>
        <w:jc w:val="both"/>
        <w:outlineLvl w:val="3"/>
        <w:rPr>
          <w:rFonts w:ascii="仿宋_GB2312" w:hAnsi="仿宋" w:eastAsia="仿宋_GB2312" w:cs="Times New Roman"/>
          <w:b/>
          <w:bCs/>
          <w:color w:val="auto"/>
          <w:kern w:val="2"/>
          <w:sz w:val="30"/>
          <w:szCs w:val="28"/>
          <w:lang w:val="en-US" w:eastAsia="zh-CN" w:bidi="ar-SA"/>
        </w:rPr>
      </w:pPr>
      <w:bookmarkStart w:id="708" w:name="_Toc3836_WPSOffice_Level2"/>
      <w:bookmarkStart w:id="709" w:name="_Toc32146_WPSOffice_Level2"/>
      <w:bookmarkStart w:id="710" w:name="_Toc1538_WPSOffice_Level2"/>
      <w:bookmarkStart w:id="711" w:name="_Toc11838594"/>
      <w:bookmarkStart w:id="712" w:name="_Toc6842_WPSOffice_Level2"/>
      <w:bookmarkStart w:id="713" w:name="_Toc27810_WPSOffice_Level2"/>
      <w:r>
        <w:rPr>
          <w:rFonts w:hint="eastAsia" w:ascii="仿宋_GB2312" w:hAnsi="仿宋" w:eastAsia="仿宋_GB2312" w:cs="Times New Roman"/>
          <w:b/>
          <w:bCs/>
          <w:color w:val="auto"/>
          <w:kern w:val="2"/>
          <w:sz w:val="30"/>
          <w:szCs w:val="28"/>
          <w:lang w:val="en-US" w:eastAsia="zh-CN" w:bidi="ar-SA"/>
        </w:rPr>
        <w:t>13.1户籍老年人口</w:t>
      </w:r>
      <w:bookmarkEnd w:id="708"/>
      <w:bookmarkEnd w:id="709"/>
      <w:bookmarkEnd w:id="710"/>
      <w:bookmarkEnd w:id="711"/>
      <w:bookmarkEnd w:id="712"/>
      <w:bookmarkEnd w:id="713"/>
    </w:p>
    <w:p>
      <w:pPr>
        <w:ind w:firstLine="600"/>
        <w:rPr>
          <w:rFonts w:ascii="仿宋_GB2312" w:eastAsia="仿宋_GB2312"/>
          <w:color w:val="auto"/>
        </w:rPr>
      </w:pPr>
      <w:r>
        <w:rPr>
          <w:rFonts w:hint="eastAsia" w:ascii="仿宋_GB2312" w:eastAsia="仿宋_GB2312"/>
          <w:color w:val="auto"/>
        </w:rPr>
        <w:t>是指具有北京市户籍的年龄在60岁及以上的人口。</w:t>
      </w:r>
    </w:p>
    <w:p>
      <w:pPr>
        <w:keepNext/>
        <w:keepLines/>
        <w:widowControl w:val="0"/>
        <w:spacing w:before="156" w:beforeLines="50" w:after="156" w:afterLines="50" w:line="264" w:lineRule="auto"/>
        <w:ind w:firstLine="602" w:firstLineChars="200"/>
        <w:jc w:val="both"/>
        <w:outlineLvl w:val="3"/>
        <w:rPr>
          <w:rFonts w:ascii="仿宋_GB2312" w:hAnsi="仿宋" w:eastAsia="仿宋_GB2312" w:cs="Times New Roman"/>
          <w:b/>
          <w:bCs/>
          <w:color w:val="auto"/>
          <w:kern w:val="2"/>
          <w:sz w:val="30"/>
          <w:szCs w:val="28"/>
          <w:lang w:val="en-US" w:eastAsia="zh-CN" w:bidi="ar-SA"/>
        </w:rPr>
      </w:pPr>
      <w:bookmarkStart w:id="714" w:name="_Toc17256_WPSOffice_Level2"/>
      <w:bookmarkStart w:id="715" w:name="_Toc12788_WPSOffice_Level2"/>
      <w:bookmarkStart w:id="716" w:name="_Toc10943_WPSOffice_Level2"/>
      <w:bookmarkStart w:id="717" w:name="_Toc11838595"/>
      <w:bookmarkStart w:id="718" w:name="_Toc11030_WPSOffice_Level2"/>
      <w:bookmarkStart w:id="719" w:name="_Toc21018_WPSOffice_Level2"/>
      <w:r>
        <w:rPr>
          <w:rFonts w:hint="eastAsia" w:ascii="仿宋_GB2312" w:hAnsi="仿宋" w:eastAsia="仿宋_GB2312" w:cs="Times New Roman"/>
          <w:b/>
          <w:bCs/>
          <w:color w:val="auto"/>
          <w:kern w:val="2"/>
          <w:sz w:val="30"/>
          <w:szCs w:val="28"/>
          <w:lang w:val="en-US" w:eastAsia="zh-CN" w:bidi="ar-SA"/>
        </w:rPr>
        <w:t>13.2常住老年人口</w:t>
      </w:r>
      <w:bookmarkEnd w:id="714"/>
      <w:bookmarkEnd w:id="715"/>
      <w:bookmarkEnd w:id="716"/>
      <w:bookmarkEnd w:id="717"/>
      <w:bookmarkEnd w:id="718"/>
      <w:bookmarkEnd w:id="719"/>
    </w:p>
    <w:p>
      <w:pPr>
        <w:ind w:firstLine="600"/>
        <w:rPr>
          <w:rFonts w:ascii="仿宋_GB2312" w:eastAsia="仿宋_GB2312"/>
          <w:color w:val="auto"/>
        </w:rPr>
      </w:pPr>
      <w:r>
        <w:rPr>
          <w:rFonts w:hint="eastAsia" w:ascii="仿宋_GB2312" w:eastAsia="仿宋_GB2312"/>
          <w:color w:val="auto"/>
        </w:rPr>
        <w:t>是指连续六个月以上常住北京市的人口中年龄在60岁及以上的人口。</w:t>
      </w:r>
    </w:p>
    <w:p>
      <w:pPr>
        <w:keepNext/>
        <w:keepLines/>
        <w:widowControl w:val="0"/>
        <w:spacing w:before="156" w:beforeLines="50" w:after="156" w:afterLines="50" w:line="264" w:lineRule="auto"/>
        <w:ind w:firstLine="0" w:firstLineChars="0"/>
        <w:jc w:val="both"/>
        <w:outlineLvl w:val="2"/>
        <w:rPr>
          <w:rFonts w:ascii="仿宋_GB2312" w:hAnsi="Times New Roman" w:eastAsia="仿宋_GB2312" w:cs="Times New Roman"/>
          <w:b/>
          <w:bCs/>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14</w:t>
      </w:r>
      <w:r>
        <w:rPr>
          <w:rFonts w:hint="eastAsia" w:ascii="仿宋_GB2312" w:hAnsi="Times New Roman" w:eastAsia="仿宋_GB2312" w:cs="Times New Roman"/>
          <w:b/>
          <w:bCs/>
          <w:color w:val="auto"/>
          <w:kern w:val="2"/>
          <w:sz w:val="32"/>
          <w:szCs w:val="30"/>
          <w:lang w:val="en-US" w:eastAsia="zh-CN" w:bidi="ar-SA"/>
        </w:rPr>
        <w:t>．</w:t>
      </w:r>
      <w:r>
        <w:rPr>
          <w:rFonts w:hint="eastAsia" w:ascii="仿宋_GB2312" w:hAnsi="Times New Roman" w:eastAsia="仿宋_GB2312" w:cs="Times New Roman"/>
          <w:b/>
          <w:bCs/>
          <w:color w:val="auto"/>
          <w:kern w:val="2"/>
          <w:sz w:val="32"/>
          <w:szCs w:val="32"/>
          <w:lang w:val="en-US" w:eastAsia="zh-CN" w:bidi="ar-SA"/>
        </w:rPr>
        <w:t>北京市常住总人口及老年人口测算依据</w:t>
      </w:r>
    </w:p>
    <w:p>
      <w:pPr>
        <w:ind w:firstLine="602"/>
        <w:rPr>
          <w:rFonts w:ascii="仿宋_GB2312" w:eastAsia="仿宋_GB2312"/>
          <w:b/>
          <w:bCs/>
          <w:color w:val="auto"/>
        </w:rPr>
      </w:pPr>
      <w:r>
        <w:rPr>
          <w:rFonts w:hint="eastAsia" w:ascii="仿宋_GB2312" w:eastAsia="仿宋_GB2312"/>
          <w:b/>
          <w:bCs/>
          <w:color w:val="auto"/>
        </w:rPr>
        <w:t>预测模型。</w:t>
      </w:r>
      <w:r>
        <w:rPr>
          <w:rFonts w:hint="eastAsia" w:ascii="仿宋_GB2312" w:eastAsia="仿宋_GB2312"/>
          <w:color w:val="auto"/>
        </w:rPr>
        <w:t>预测使用人口精算分析模型（PFA），该模型是以北京市第三次人口普查，2016及2017年人口数据为基础。在预先给定假设参数下，预测未来一段时期内该地区的人口结构并对预测结果的汇总数据进行内容展示、趋势图表展示和各个方案的结果对比展示。</w:t>
      </w:r>
    </w:p>
    <w:p>
      <w:pPr>
        <w:ind w:firstLine="602"/>
        <w:rPr>
          <w:rFonts w:ascii="仿宋_GB2312" w:eastAsia="仿宋_GB2312"/>
          <w:color w:val="auto"/>
        </w:rPr>
      </w:pPr>
      <w:r>
        <w:rPr>
          <w:rFonts w:hint="eastAsia" w:ascii="仿宋_GB2312" w:eastAsia="仿宋_GB2312"/>
          <w:b/>
          <w:bCs/>
          <w:color w:val="auto"/>
        </w:rPr>
        <w:t>预测方法。</w:t>
      </w:r>
      <w:r>
        <w:rPr>
          <w:rFonts w:hint="eastAsia" w:ascii="仿宋_GB2312" w:eastAsia="仿宋_GB2312"/>
          <w:color w:val="auto"/>
        </w:rPr>
        <w:t>本研究使用概率预测方法，即假设未来死亡率和出生率以及迁移率都是动态变化的情况下的人口预测。因此分别要对未来北京市的死亡率（平均预期寿命）和生育率的变化趋势进行预测，然后结合未来北京市迁移率（净迁移率）的估算结果来预测未来北京市常住人口的变化趋势。</w:t>
      </w:r>
    </w:p>
    <w:p>
      <w:pPr>
        <w:keepNext/>
        <w:keepLines/>
        <w:widowControl w:val="0"/>
        <w:spacing w:before="156" w:beforeLines="50" w:after="156" w:afterLines="50" w:line="264" w:lineRule="auto"/>
        <w:ind w:firstLine="602" w:firstLineChars="200"/>
        <w:jc w:val="both"/>
        <w:outlineLvl w:val="3"/>
        <w:rPr>
          <w:rFonts w:ascii="仿宋_GB2312" w:hAnsi="仿宋" w:eastAsia="仿宋_GB2312" w:cs="Times New Roman"/>
          <w:b/>
          <w:bCs/>
          <w:color w:val="auto"/>
          <w:kern w:val="2"/>
          <w:sz w:val="30"/>
          <w:szCs w:val="28"/>
          <w:lang w:val="en-US" w:eastAsia="zh-CN" w:bidi="ar-SA"/>
        </w:rPr>
      </w:pPr>
      <w:r>
        <w:rPr>
          <w:rFonts w:hint="eastAsia" w:ascii="仿宋_GB2312" w:hAnsi="仿宋" w:eastAsia="仿宋_GB2312" w:cs="Times New Roman"/>
          <w:b/>
          <w:bCs/>
          <w:color w:val="auto"/>
          <w:kern w:val="2"/>
          <w:sz w:val="30"/>
          <w:szCs w:val="28"/>
          <w:lang w:val="en-US" w:eastAsia="zh-CN" w:bidi="ar-SA"/>
        </w:rPr>
        <w:t>14.1常住总人口预测</w:t>
      </w:r>
    </w:p>
    <w:p>
      <w:pPr>
        <w:autoSpaceDE w:val="0"/>
        <w:autoSpaceDN w:val="0"/>
        <w:ind w:firstLine="600"/>
        <w:jc w:val="center"/>
        <w:rPr>
          <w:rFonts w:cs="Times New Roman"/>
          <w:color w:val="auto"/>
          <w:kern w:val="0"/>
          <w:szCs w:val="30"/>
        </w:rPr>
      </w:pPr>
      <w:r>
        <w:rPr>
          <w:rFonts w:hint="eastAsia" w:ascii="仿宋_GB2312" w:eastAsia="仿宋_GB2312"/>
          <w:color w:val="auto"/>
        </w:rPr>
        <w:t>北京市总人口规模预测数据如图所示：</w:t>
      </w:r>
      <w:r>
        <w:rPr>
          <w:rFonts w:ascii="仿宋" w:hAnsi="仿宋" w:eastAsia="仿宋" w:cs="黑体"/>
          <w:color w:val="auto"/>
          <w:kern w:val="2"/>
          <w:sz w:val="30"/>
          <w:szCs w:val="24"/>
          <w:lang w:val="en-US" w:eastAsia="zh-CN" w:bidi="ar-SA"/>
        </w:rPr>
        <w:pict>
          <v:shape id="Picture 3" o:spid="_x0000_s1045" type="#_x0000_t75" style="height:216pt;width:395.25pt;rotation:0f;" o:ole="f" fillcolor="#FFFFFF" filled="f" o:preferrelative="t" stroked="f" coordorigin="0,0" coordsize="21600,21600">
            <v:fill on="f" color2="#FFFFFF" focus="0%"/>
            <v:imagedata gain="65536f" blacklevel="0f" gamma="0" o:title="" r:id="rId17"/>
            <o:lock v:ext="edit" position="f" selection="f" grouping="f" rotation="f" cropping="f" text="f" aspectratio="t"/>
            <w10:wrap type="none"/>
            <w10:anchorlock/>
          </v:shape>
        </w:pict>
      </w:r>
    </w:p>
    <w:p>
      <w:pPr>
        <w:autoSpaceDE w:val="0"/>
        <w:autoSpaceDN w:val="0"/>
        <w:spacing w:line="360" w:lineRule="auto"/>
        <w:ind w:firstLine="440"/>
        <w:jc w:val="center"/>
        <w:rPr>
          <w:rFonts w:ascii="仿宋_GB2312" w:eastAsia="仿宋_GB2312" w:cs="Times New Roman"/>
          <w:color w:val="auto"/>
          <w:kern w:val="0"/>
          <w:sz w:val="22"/>
          <w:szCs w:val="22"/>
        </w:rPr>
      </w:pPr>
      <w:r>
        <w:rPr>
          <w:rFonts w:hint="eastAsia" w:ascii="仿宋_GB2312" w:eastAsia="仿宋_GB2312"/>
          <w:color w:val="auto"/>
          <w:sz w:val="22"/>
          <w:szCs w:val="22"/>
        </w:rPr>
        <w:t>2018-2050年北京市常住人口规模变化（单位：万）</w:t>
      </w:r>
    </w:p>
    <w:p>
      <w:pPr>
        <w:ind w:firstLine="600"/>
        <w:rPr>
          <w:rFonts w:ascii="仿宋_GB2312" w:eastAsia="仿宋_GB2312"/>
          <w:color w:val="auto"/>
        </w:rPr>
      </w:pPr>
      <w:r>
        <w:rPr>
          <w:rFonts w:hint="eastAsia" w:ascii="仿宋_GB2312" w:eastAsia="仿宋_GB2312"/>
          <w:color w:val="auto"/>
        </w:rPr>
        <w:t>根据人口总和生育率与人口预期寿命假设预测，北京市人口生育率将呈现V字变化，总死亡率稳步上升。总生育率由2018年的3.31%下降到2032年的1.86%，其主要原因是由于新迁入人口增加，且还无法立即生育导致；2032年之后生育率稳步提高，主要原因为之前新迁入人口以及2018年前后出生人口进入生育期。</w:t>
      </w:r>
    </w:p>
    <w:p>
      <w:pPr>
        <w:wordWrap w:val="0"/>
        <w:autoSpaceDE w:val="0"/>
        <w:autoSpaceDN w:val="0"/>
        <w:ind w:firstLine="600"/>
        <w:rPr>
          <w:rFonts w:ascii="仿宋_GB2312" w:eastAsia="仿宋_GB2312" w:cs="Times New Roman"/>
          <w:color w:val="auto"/>
          <w:kern w:val="0"/>
          <w:szCs w:val="30"/>
        </w:rPr>
      </w:pPr>
      <w:r>
        <w:rPr>
          <w:rFonts w:hint="eastAsia" w:ascii="仿宋_GB2312" w:eastAsia="仿宋_GB2312" w:cs="Times New Roman"/>
          <w:color w:val="auto"/>
          <w:kern w:val="0"/>
          <w:szCs w:val="30"/>
        </w:rPr>
        <w:t>总生育率与死亡率变换如下图：</w:t>
      </w:r>
    </w:p>
    <w:p>
      <w:pPr>
        <w:autoSpaceDE w:val="0"/>
        <w:autoSpaceDN w:val="0"/>
        <w:ind w:firstLine="0" w:firstLineChars="0"/>
        <w:jc w:val="center"/>
        <w:rPr>
          <w:rFonts w:cs="Times New Roman"/>
          <w:color w:val="auto"/>
          <w:kern w:val="0"/>
          <w:szCs w:val="30"/>
        </w:rPr>
      </w:pPr>
      <w:r>
        <w:rPr>
          <w:rFonts w:ascii="仿宋" w:hAnsi="仿宋" w:eastAsia="仿宋" w:cs="黑体"/>
          <w:color w:val="auto"/>
          <w:kern w:val="2"/>
          <w:sz w:val="30"/>
          <w:szCs w:val="24"/>
          <w:lang w:val="en-US" w:eastAsia="zh-CN" w:bidi="ar-SA"/>
        </w:rPr>
        <w:pict>
          <v:shape id="Picture 4" o:spid="_x0000_s1046" type="#_x0000_t75" style="height:201pt;width:393.75pt;rotation:0f;" o:ole="f" fillcolor="#FFFFFF" filled="f" o:preferrelative="t" stroked="f" coordorigin="0,0" coordsize="21600,21600">
            <v:fill on="f" color2="#FFFFFF" focus="0%"/>
            <v:imagedata gain="65536f" blacklevel="0f" gamma="0" o:title="" r:id="rId18"/>
            <o:lock v:ext="edit" position="f" selection="f" grouping="f" rotation="f" cropping="f" text="f" aspectratio="t"/>
            <w10:wrap type="none"/>
            <w10:anchorlock/>
          </v:shape>
        </w:pict>
      </w:r>
    </w:p>
    <w:p>
      <w:pPr>
        <w:autoSpaceDE w:val="0"/>
        <w:autoSpaceDN w:val="0"/>
        <w:spacing w:line="360" w:lineRule="auto"/>
        <w:ind w:firstLine="0" w:firstLineChars="0"/>
        <w:jc w:val="center"/>
        <w:rPr>
          <w:rFonts w:ascii="仿宋_GB2312" w:eastAsia="仿宋_GB2312" w:cs="Times New Roman"/>
          <w:color w:val="auto"/>
          <w:kern w:val="0"/>
          <w:sz w:val="22"/>
          <w:szCs w:val="22"/>
        </w:rPr>
      </w:pPr>
      <w:r>
        <w:rPr>
          <w:rFonts w:hint="eastAsia" w:ascii="仿宋_GB2312" w:eastAsia="仿宋_GB2312"/>
          <w:color w:val="auto"/>
          <w:sz w:val="22"/>
          <w:szCs w:val="22"/>
        </w:rPr>
        <w:t>2018-2050年北京市常住人口出生率、死亡率（%）</w:t>
      </w:r>
    </w:p>
    <w:p>
      <w:pPr>
        <w:ind w:firstLine="600"/>
        <w:rPr>
          <w:rFonts w:ascii="仿宋_GB2312" w:eastAsia="仿宋_GB2312"/>
          <w:color w:val="auto"/>
        </w:rPr>
      </w:pPr>
      <w:r>
        <w:rPr>
          <w:rFonts w:hint="eastAsia" w:ascii="仿宋_GB2312" w:eastAsia="仿宋_GB2312"/>
          <w:color w:val="auto"/>
        </w:rPr>
        <w:t>按照北京市预期寿命及迁入人口规划，北京市常住人口预计在2024年达到峰值2201.36万人，之后逐渐下降，至2035年预计常住口人2127.11万人，与《总体规划》中控制人口数量在2300万以内的目标相吻合。</w:t>
      </w:r>
    </w:p>
    <w:p>
      <w:pPr>
        <w:keepNext/>
        <w:keepLines/>
        <w:widowControl w:val="0"/>
        <w:spacing w:before="156" w:beforeLines="50" w:after="156" w:afterLines="50" w:line="264" w:lineRule="auto"/>
        <w:ind w:firstLine="602" w:firstLineChars="200"/>
        <w:jc w:val="both"/>
        <w:outlineLvl w:val="3"/>
        <w:rPr>
          <w:rFonts w:ascii="仿宋_GB2312" w:hAnsi="仿宋" w:eastAsia="仿宋_GB2312" w:cs="Times New Roman"/>
          <w:b/>
          <w:bCs/>
          <w:color w:val="auto"/>
          <w:kern w:val="2"/>
          <w:sz w:val="30"/>
          <w:szCs w:val="28"/>
          <w:lang w:val="en-US" w:eastAsia="zh-CN" w:bidi="ar-SA"/>
        </w:rPr>
      </w:pPr>
      <w:r>
        <w:rPr>
          <w:rFonts w:hint="eastAsia" w:ascii="仿宋_GB2312" w:hAnsi="仿宋" w:eastAsia="仿宋_GB2312" w:cs="Times New Roman"/>
          <w:b/>
          <w:bCs/>
          <w:color w:val="auto"/>
          <w:kern w:val="2"/>
          <w:sz w:val="30"/>
          <w:szCs w:val="28"/>
          <w:lang w:val="en-US" w:eastAsia="zh-CN" w:bidi="ar-SA"/>
        </w:rPr>
        <w:t>14.2北京市老年人口预测</w:t>
      </w:r>
    </w:p>
    <w:p>
      <w:pPr>
        <w:ind w:firstLine="600"/>
        <w:rPr>
          <w:rFonts w:ascii="仿宋_GB2312" w:eastAsia="仿宋_GB2312"/>
          <w:color w:val="auto"/>
        </w:rPr>
      </w:pPr>
      <w:bookmarkStart w:id="720" w:name="_Toc2732_WPSOffice_Level1"/>
      <w:bookmarkStart w:id="721" w:name="_Toc26738_WPSOffice_Level1"/>
      <w:bookmarkStart w:id="722" w:name="_Toc25839_WPSOffice_Level1"/>
      <w:bookmarkStart w:id="723" w:name="_Toc11838596"/>
      <w:bookmarkStart w:id="724" w:name="_Toc17735_WPSOffice_Level1"/>
      <w:bookmarkStart w:id="725" w:name="_Toc13488_WPSOffice_Level1"/>
      <w:r>
        <w:rPr>
          <w:rFonts w:hint="eastAsia" w:ascii="仿宋_GB2312" w:eastAsia="仿宋_GB2312"/>
          <w:color w:val="auto"/>
        </w:rPr>
        <w:t>根据</w:t>
      </w:r>
      <w:bookmarkStart w:id="726" w:name="_Hlk28109598"/>
      <w:r>
        <w:rPr>
          <w:rFonts w:hint="eastAsia" w:ascii="仿宋_GB2312" w:eastAsia="仿宋_GB2312"/>
          <w:color w:val="auto"/>
        </w:rPr>
        <w:t>《国家应对人口老龄化战略研究报告》</w:t>
      </w:r>
      <w:bookmarkEnd w:id="726"/>
      <w:r>
        <w:rPr>
          <w:rFonts w:hint="eastAsia" w:ascii="仿宋_GB2312" w:eastAsia="仿宋_GB2312"/>
          <w:color w:val="auto"/>
        </w:rPr>
        <w:t>，2022年-2036年我国第二次出生高峰（1962年-1976年）人口开始进入老年，意味着我国将进入</w:t>
      </w:r>
      <w:bookmarkStart w:id="727" w:name="_Hlk28108716"/>
      <w:r>
        <w:rPr>
          <w:rFonts w:hint="eastAsia" w:ascii="仿宋_GB2312" w:eastAsia="仿宋_GB2312"/>
          <w:color w:val="auto"/>
        </w:rPr>
        <w:t>急速老龄化增长期</w:t>
      </w:r>
      <w:bookmarkEnd w:id="727"/>
      <w:r>
        <w:rPr>
          <w:rFonts w:hint="eastAsia" w:ascii="仿宋_GB2312" w:eastAsia="仿宋_GB2312"/>
          <w:color w:val="auto"/>
        </w:rPr>
        <w:t>，人口老龄化水平从18.5%升至29.1%。参考已经进入急速老龄化增长期的亚洲大都市东京，2007年开始日本第一次出生高峰（1947年-1954年）的人口开始进入老龄化，到2014年急速老龄化增长期结束。8年间东京老龄化率增长2.28%，日本全国增长4.90%，东京市与日本全国的老龄化率差距由2.1%扩大至4.7%，</w:t>
      </w:r>
      <w:bookmarkStart w:id="728" w:name="_Hlk28108317"/>
      <w:r>
        <w:rPr>
          <w:rFonts w:hint="eastAsia" w:ascii="仿宋_GB2312" w:eastAsia="仿宋_GB2312"/>
          <w:color w:val="auto"/>
        </w:rPr>
        <w:t>平均3.1年拉开一个百分点的距离</w:t>
      </w:r>
      <w:bookmarkEnd w:id="728"/>
      <w:r>
        <w:rPr>
          <w:rFonts w:hint="eastAsia" w:ascii="仿宋_GB2312" w:eastAsia="仿宋_GB2312"/>
          <w:color w:val="auto"/>
        </w:rPr>
        <w:t>。</w:t>
      </w:r>
    </w:p>
    <w:p>
      <w:pPr>
        <w:ind w:firstLine="600"/>
        <w:rPr>
          <w:rFonts w:ascii="仿宋_GB2312" w:eastAsia="仿宋_GB2312"/>
          <w:color w:val="auto"/>
        </w:rPr>
      </w:pPr>
      <w:r>
        <w:rPr>
          <w:rFonts w:hint="eastAsia" w:ascii="仿宋_GB2312" w:eastAsia="仿宋_GB2312"/>
          <w:color w:val="auto"/>
        </w:rPr>
        <w:t>2014年日本急速老龄化增长期结束后，日本老龄化率涨幅变缓。从2014年到2018年，日本的老龄化率只增长了1%。而东京市的老龄化率在2014年至2018年间下降了0.27%，加快了日本与东京市老龄化率之差。从2014年到2018年间，东京市平均3年的时间与日本老龄化率之间拉低一个百分比。</w:t>
      </w:r>
    </w:p>
    <w:p>
      <w:pPr>
        <w:autoSpaceDE w:val="0"/>
        <w:autoSpaceDN w:val="0"/>
        <w:ind w:firstLine="0" w:firstLineChars="0"/>
        <w:jc w:val="left"/>
        <w:rPr>
          <w:rFonts w:ascii="仿宋_GB2312" w:hAnsi="仿宋_GB2312" w:eastAsia="仿宋_GB2312" w:cs="仿宋_GB2312"/>
          <w:color w:val="auto"/>
          <w:sz w:val="32"/>
          <w:szCs w:val="32"/>
        </w:rPr>
      </w:pPr>
      <w:r>
        <w:rPr>
          <w:rFonts w:ascii="仿宋" w:hAnsi="仿宋" w:eastAsia="仿宋" w:cs="黑体"/>
          <w:color w:val="auto"/>
          <w:kern w:val="2"/>
          <w:sz w:val="30"/>
          <w:szCs w:val="24"/>
          <w:lang w:val="en-US" w:eastAsia="zh-CN" w:bidi="ar-SA"/>
        </w:rPr>
        <w:pict>
          <v:shape id="Picture 5" o:spid="_x0000_s1047" type="#_x0000_t75" style="height:177pt;width:420.75pt;rotation:0f;" o:ole="f" fillcolor="#FFFFFF" filled="f" o:preferrelative="t" stroked="f" coordorigin="0,0" coordsize="21600,21600">
            <v:fill on="f" color2="#FFFFFF" focus="0%"/>
            <v:imagedata gain="65536f" blacklevel="0f" gamma="0" o:title="图1" r:id="rId19"/>
            <o:lock v:ext="edit" position="f" selection="f" grouping="f" rotation="f" cropping="f" text="f" aspectratio="t"/>
            <w10:wrap type="none"/>
            <w10:anchorlock/>
          </v:shape>
        </w:pict>
      </w:r>
    </w:p>
    <w:p>
      <w:pPr>
        <w:widowControl w:val="0"/>
        <w:spacing w:after="156" w:afterLines="50" w:line="300" w:lineRule="auto"/>
        <w:ind w:firstLine="0" w:firstLineChars="0"/>
        <w:jc w:val="center"/>
        <w:rPr>
          <w:rFonts w:ascii="黑体" w:hAnsi="黑体" w:eastAsia="黑体" w:cs="Times New Roman"/>
          <w:color w:val="auto"/>
          <w:kern w:val="2"/>
          <w:sz w:val="30"/>
          <w:szCs w:val="24"/>
          <w:lang w:val="en-US" w:eastAsia="zh-CN" w:bidi="ar-SA"/>
        </w:rPr>
      </w:pPr>
      <w:r>
        <w:rPr>
          <w:rFonts w:hint="eastAsia" w:ascii="黑体" w:hAnsi="黑体" w:eastAsia="黑体" w:cs="Times New Roman"/>
          <w:color w:val="auto"/>
          <w:kern w:val="2"/>
          <w:sz w:val="30"/>
          <w:szCs w:val="24"/>
          <w:lang w:val="en-US" w:eastAsia="zh-CN" w:bidi="ar-SA"/>
        </w:rPr>
        <w:t>201</w:t>
      </w:r>
      <w:r>
        <w:rPr>
          <w:rFonts w:ascii="黑体" w:hAnsi="黑体" w:eastAsia="黑体" w:cs="Times New Roman"/>
          <w:color w:val="auto"/>
          <w:kern w:val="2"/>
          <w:sz w:val="30"/>
          <w:szCs w:val="24"/>
          <w:lang w:val="en-US" w:eastAsia="zh-CN" w:bidi="ar-SA"/>
        </w:rPr>
        <w:t>2</w:t>
      </w:r>
      <w:r>
        <w:rPr>
          <w:rFonts w:hint="eastAsia" w:ascii="黑体" w:hAnsi="黑体" w:eastAsia="黑体" w:cs="Times New Roman"/>
          <w:color w:val="auto"/>
          <w:kern w:val="2"/>
          <w:sz w:val="30"/>
          <w:szCs w:val="24"/>
          <w:lang w:val="en-US" w:eastAsia="zh-CN" w:bidi="ar-SA"/>
        </w:rPr>
        <w:t>年-2018年北京市与全国老龄化率（60岁以上）对比</w:t>
      </w:r>
    </w:p>
    <w:p>
      <w:pPr>
        <w:ind w:firstLine="0" w:firstLineChars="0"/>
        <w:jc w:val="center"/>
        <w:rPr>
          <w:color w:val="auto"/>
        </w:rPr>
      </w:pPr>
      <w:r>
        <w:rPr>
          <w:rFonts w:ascii="仿宋" w:hAnsi="仿宋" w:eastAsia="仿宋" w:cs="黑体"/>
          <w:color w:val="auto"/>
          <w:kern w:val="2"/>
          <w:sz w:val="30"/>
          <w:szCs w:val="24"/>
          <w:lang w:val="en-US" w:eastAsia="zh-CN" w:bidi="ar-SA"/>
        </w:rPr>
        <w:pict>
          <v:rect id="矩形 5" o:spid="_x0000_s1048" style="position:absolute;left:0;margin-left:80.25pt;margin-top:7.3pt;height:29.9pt;width:267.4pt;rotation:0f;z-index:251659264;" o:ole="f" fillcolor="#FFFFFF" filled="t" o:preferrelative="t" stroked="f" coordsize="21600,21600">
            <v:imagedata gain="65536f" blacklevel="0f" gamma="0"/>
            <o:lock v:ext="edit" position="f" selection="f" grouping="f" rotation="f" cropping="f" text="f" aspectratio="f"/>
            <v:textbox>
              <w:txbxContent>
                <w:p>
                  <w:pPr>
                    <w:ind w:firstLine="480"/>
                    <w:jc w:val="center"/>
                    <w:rPr>
                      <w:rFonts w:ascii="黑体" w:hAnsi="黑体" w:eastAsia="黑体"/>
                      <w:sz w:val="24"/>
                    </w:rPr>
                  </w:pPr>
                  <w:r>
                    <w:rPr>
                      <w:rFonts w:hint="eastAsia" w:ascii="黑体" w:hAnsi="黑体" w:eastAsia="黑体"/>
                      <w:sz w:val="24"/>
                    </w:rPr>
                    <w:t>北京老龄化与全国老龄化对比</w:t>
                  </w:r>
                </w:p>
              </w:txbxContent>
            </v:textbox>
          </v:rect>
        </w:pict>
      </w:r>
      <w:r>
        <w:rPr>
          <w:rFonts w:ascii="仿宋" w:hAnsi="仿宋" w:eastAsia="仿宋" w:cs="黑体"/>
          <w:color w:val="auto"/>
          <w:kern w:val="2"/>
          <w:sz w:val="30"/>
          <w:szCs w:val="24"/>
          <w:lang w:val="en-US" w:eastAsia="zh-CN" w:bidi="ar-SA"/>
        </w:rPr>
        <w:pict>
          <v:shape id="Picture 6" o:spid="_x0000_s1049" type="#_x0000_t75" style="height:175.5pt;width:369.75pt;rotation:0f;" o:ole="f" fillcolor="#FFFFFF" filled="f" o:preferrelative="t" stroked="f" coordorigin="0,0" coordsize="21600,21600">
            <v:fill on="f" color2="#FFFFFF" focus="0%"/>
            <v:imagedata gain="65536f" blacklevel="0f" gamma="0" o:title="" r:id="rId20"/>
            <o:lock v:ext="edit" position="f" selection="f" grouping="f" rotation="f" cropping="f" text="f" aspectratio="t"/>
            <w10:wrap type="none"/>
            <w10:anchorlock/>
          </v:shape>
        </w:pict>
      </w:r>
    </w:p>
    <w:p>
      <w:pPr>
        <w:ind w:firstLine="600"/>
        <w:rPr>
          <w:rFonts w:ascii="仿宋_GB2312" w:eastAsia="仿宋_GB2312"/>
          <w:color w:val="auto"/>
        </w:rPr>
      </w:pPr>
      <w:r>
        <w:rPr>
          <w:rFonts w:hint="eastAsia" w:ascii="仿宋_GB2312" w:eastAsia="仿宋_GB2312"/>
          <w:color w:val="auto"/>
        </w:rPr>
        <w:t>参考东京市与日本老龄化率之间的变化，分析北京市与全国老龄化率之间的变化。从近几年北京市与全国老龄化率变化看，北京市与全国老龄化率之差在2013年相差0.9%，2014年又缩小到0.55%。能看出全国老龄化率持续稳定上升，相比北京市的老龄化率上升幅度不稳定。</w:t>
      </w:r>
    </w:p>
    <w:p>
      <w:pPr>
        <w:ind w:firstLine="600"/>
        <w:rPr>
          <w:rFonts w:ascii="仿宋_GB2312" w:eastAsia="仿宋_GB2312"/>
          <w:color w:val="auto"/>
        </w:rPr>
      </w:pPr>
      <w:r>
        <w:rPr>
          <w:rFonts w:hint="eastAsia" w:ascii="仿宋_GB2312" w:eastAsia="仿宋_GB2312"/>
          <w:color w:val="auto"/>
        </w:rPr>
        <w:t>从2015年开始，北京市与全国的老龄化率之差逐渐稳步拉开距离。</w:t>
      </w:r>
      <w:bookmarkStart w:id="729" w:name="_Hlk28109530"/>
      <w:r>
        <w:rPr>
          <w:rFonts w:hint="eastAsia" w:ascii="仿宋_GB2312" w:eastAsia="仿宋_GB2312"/>
          <w:color w:val="auto"/>
        </w:rPr>
        <w:t>2015年到2018年3年间北京市与全国的老龄比拉低了0.6%，将近一个百分点。</w:t>
      </w:r>
      <w:bookmarkEnd w:id="729"/>
      <w:r>
        <w:rPr>
          <w:rFonts w:hint="eastAsia" w:ascii="仿宋_GB2312" w:eastAsia="仿宋_GB2312"/>
          <w:color w:val="auto"/>
        </w:rPr>
        <w:t>这与东京市和日本平均3年拉开一个百分点的变化相近。</w:t>
      </w:r>
    </w:p>
    <w:p>
      <w:pPr>
        <w:widowControl w:val="0"/>
        <w:spacing w:after="156" w:afterLines="50" w:line="300" w:lineRule="auto"/>
        <w:ind w:firstLine="0" w:firstLineChars="0"/>
        <w:jc w:val="center"/>
        <w:rPr>
          <w:rFonts w:ascii="黑体" w:hAnsi="黑体" w:eastAsia="黑体" w:cs="Times New Roman"/>
          <w:color w:val="auto"/>
          <w:kern w:val="2"/>
          <w:sz w:val="30"/>
          <w:szCs w:val="24"/>
          <w:lang w:val="en-US" w:eastAsia="zh-CN" w:bidi="ar-SA"/>
        </w:rPr>
      </w:pPr>
      <w:r>
        <w:rPr>
          <w:rFonts w:hint="eastAsia" w:ascii="黑体" w:hAnsi="黑体" w:eastAsia="黑体" w:cs="Times New Roman"/>
          <w:color w:val="auto"/>
          <w:kern w:val="2"/>
          <w:sz w:val="30"/>
          <w:szCs w:val="24"/>
          <w:lang w:val="en-US" w:eastAsia="zh-CN" w:bidi="ar-SA"/>
        </w:rPr>
        <w:t>表41北京市与全国老龄化率对比</w:t>
      </w:r>
    </w:p>
    <w:tbl>
      <w:tblPr>
        <w:tblStyle w:val="39"/>
        <w:tblW w:w="6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705"/>
        <w:gridCol w:w="1838"/>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560" w:type="dxa"/>
            <w:vAlign w:val="center"/>
          </w:tcPr>
          <w:p>
            <w:pPr>
              <w:widowControl w:val="0"/>
              <w:spacing w:afterLines="0" w:line="240" w:lineRule="auto"/>
              <w:ind w:firstLine="0" w:firstLineChars="0"/>
              <w:jc w:val="center"/>
              <w:rPr>
                <w:rFonts w:ascii="黑体" w:hAnsi="黑体" w:eastAsia="黑体" w:cs="黑体"/>
                <w:b w:val="0"/>
                <w:bCs/>
                <w:color w:val="auto"/>
                <w:kern w:val="2"/>
                <w:sz w:val="20"/>
                <w:szCs w:val="20"/>
                <w:lang w:val="en-US" w:eastAsia="zh-CN" w:bidi="ar-SA"/>
              </w:rPr>
            </w:pPr>
            <w:r>
              <w:rPr>
                <w:rFonts w:hint="eastAsia" w:ascii="黑体" w:hAnsi="黑体" w:eastAsia="黑体" w:cs="黑体"/>
                <w:b w:val="0"/>
                <w:bCs/>
                <w:color w:val="auto"/>
                <w:kern w:val="2"/>
                <w:sz w:val="21"/>
                <w:szCs w:val="24"/>
                <w:lang w:val="en-US" w:eastAsia="zh-CN" w:bidi="ar-SA"/>
              </w:rPr>
              <w:t>年份</w:t>
            </w:r>
          </w:p>
        </w:tc>
        <w:tc>
          <w:tcPr>
            <w:tcW w:w="1705" w:type="dxa"/>
            <w:vAlign w:val="center"/>
          </w:tcPr>
          <w:p>
            <w:pPr>
              <w:widowControl w:val="0"/>
              <w:spacing w:afterLines="0" w:line="240" w:lineRule="auto"/>
              <w:ind w:firstLine="0" w:firstLineChars="0"/>
              <w:jc w:val="center"/>
              <w:rPr>
                <w:rFonts w:ascii="黑体" w:hAnsi="黑体" w:eastAsia="黑体" w:cs="黑体"/>
                <w:b w:val="0"/>
                <w:bCs/>
                <w:color w:val="auto"/>
                <w:kern w:val="2"/>
                <w:sz w:val="21"/>
                <w:szCs w:val="24"/>
                <w:lang w:val="en-US" w:eastAsia="zh-CN" w:bidi="ar-SA"/>
              </w:rPr>
            </w:pPr>
            <w:r>
              <w:rPr>
                <w:rFonts w:hint="eastAsia" w:ascii="黑体" w:hAnsi="黑体" w:eastAsia="黑体" w:cs="黑体"/>
                <w:b w:val="0"/>
                <w:bCs/>
                <w:color w:val="auto"/>
                <w:kern w:val="2"/>
                <w:sz w:val="21"/>
                <w:szCs w:val="24"/>
                <w:lang w:val="en-US" w:eastAsia="zh-CN" w:bidi="ar-SA"/>
              </w:rPr>
              <w:t>全国老龄化率</w:t>
            </w:r>
          </w:p>
        </w:tc>
        <w:tc>
          <w:tcPr>
            <w:tcW w:w="1838" w:type="dxa"/>
            <w:vAlign w:val="center"/>
          </w:tcPr>
          <w:p>
            <w:pPr>
              <w:widowControl w:val="0"/>
              <w:spacing w:afterLines="0" w:line="240" w:lineRule="auto"/>
              <w:ind w:firstLine="0" w:firstLineChars="0"/>
              <w:jc w:val="center"/>
              <w:rPr>
                <w:rFonts w:ascii="黑体" w:hAnsi="黑体" w:eastAsia="黑体" w:cs="黑体"/>
                <w:b w:val="0"/>
                <w:bCs/>
                <w:color w:val="auto"/>
                <w:kern w:val="2"/>
                <w:sz w:val="21"/>
                <w:szCs w:val="24"/>
                <w:lang w:val="en-US" w:eastAsia="zh-CN" w:bidi="ar-SA"/>
              </w:rPr>
            </w:pPr>
            <w:r>
              <w:rPr>
                <w:rFonts w:hint="eastAsia" w:ascii="黑体" w:hAnsi="黑体" w:eastAsia="黑体" w:cs="黑体"/>
                <w:b w:val="0"/>
                <w:bCs/>
                <w:color w:val="auto"/>
                <w:kern w:val="2"/>
                <w:sz w:val="21"/>
                <w:szCs w:val="24"/>
                <w:lang w:val="en-US" w:eastAsia="zh-CN" w:bidi="ar-SA"/>
              </w:rPr>
              <w:t>北京老龄化率</w:t>
            </w:r>
          </w:p>
        </w:tc>
        <w:tc>
          <w:tcPr>
            <w:tcW w:w="1710" w:type="dxa"/>
            <w:vAlign w:val="center"/>
          </w:tcPr>
          <w:p>
            <w:pPr>
              <w:widowControl w:val="0"/>
              <w:spacing w:afterLines="0" w:line="240" w:lineRule="auto"/>
              <w:ind w:firstLine="0" w:firstLineChars="0"/>
              <w:jc w:val="center"/>
              <w:rPr>
                <w:rFonts w:ascii="黑体" w:hAnsi="黑体" w:eastAsia="黑体" w:cs="黑体"/>
                <w:b w:val="0"/>
                <w:bCs/>
                <w:color w:val="auto"/>
                <w:kern w:val="2"/>
                <w:sz w:val="21"/>
                <w:szCs w:val="24"/>
                <w:lang w:val="en-US" w:eastAsia="zh-CN" w:bidi="ar-SA"/>
              </w:rPr>
            </w:pPr>
            <w:r>
              <w:rPr>
                <w:rFonts w:hint="eastAsia" w:ascii="黑体" w:hAnsi="黑体" w:eastAsia="黑体" w:cs="黑体"/>
                <w:b w:val="0"/>
                <w:bCs/>
                <w:color w:val="auto"/>
                <w:kern w:val="2"/>
                <w:sz w:val="21"/>
                <w:szCs w:val="24"/>
                <w:lang w:val="en-US" w:eastAsia="zh-CN" w:bidi="ar-SA"/>
              </w:rPr>
              <w:t>对比差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560" w:type="dxa"/>
            <w:shd w:val="clear" w:color="000000" w:fill="F2F2F2"/>
            <w:vAlign w:val="center"/>
          </w:tcPr>
          <w:p>
            <w:pPr>
              <w:widowControl w:val="0"/>
              <w:spacing w:afterLines="0" w:line="240" w:lineRule="auto"/>
              <w:ind w:firstLine="0" w:firstLineChars="0"/>
              <w:jc w:val="center"/>
              <w:rPr>
                <w:rFonts w:ascii="黑体" w:hAnsi="黑体" w:eastAsia="黑体" w:cs="黑体"/>
                <w:b w:val="0"/>
                <w:bCs/>
                <w:color w:val="auto"/>
                <w:kern w:val="2"/>
                <w:sz w:val="21"/>
                <w:szCs w:val="24"/>
                <w:lang w:val="en-US" w:eastAsia="zh-CN" w:bidi="ar-SA"/>
              </w:rPr>
            </w:pPr>
            <w:r>
              <w:rPr>
                <w:rFonts w:hint="eastAsia" w:ascii="黑体" w:hAnsi="黑体" w:eastAsia="黑体" w:cs="黑体"/>
                <w:b w:val="0"/>
                <w:bCs/>
                <w:color w:val="auto"/>
                <w:kern w:val="2"/>
                <w:sz w:val="21"/>
                <w:szCs w:val="24"/>
                <w:lang w:val="en-US" w:eastAsia="zh-CN" w:bidi="ar-SA"/>
              </w:rPr>
              <w:t>2011年</w:t>
            </w:r>
          </w:p>
        </w:tc>
        <w:tc>
          <w:tcPr>
            <w:tcW w:w="1705" w:type="dxa"/>
            <w:shd w:val="clear" w:color="000000" w:fill="F2F2F2"/>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13.70%</w:t>
            </w:r>
          </w:p>
        </w:tc>
        <w:tc>
          <w:tcPr>
            <w:tcW w:w="1838" w:type="dxa"/>
            <w:shd w:val="clear" w:color="000000" w:fill="F2F2F2"/>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13.30%</w:t>
            </w:r>
          </w:p>
        </w:tc>
        <w:tc>
          <w:tcPr>
            <w:tcW w:w="1710" w:type="dxa"/>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560" w:type="dxa"/>
            <w:shd w:val="clear" w:color="000000" w:fill="F2F2F2"/>
            <w:vAlign w:val="center"/>
          </w:tcPr>
          <w:p>
            <w:pPr>
              <w:widowControl w:val="0"/>
              <w:spacing w:afterLines="0" w:line="240" w:lineRule="auto"/>
              <w:ind w:firstLine="0" w:firstLineChars="0"/>
              <w:jc w:val="center"/>
              <w:rPr>
                <w:rFonts w:ascii="黑体" w:hAnsi="黑体" w:eastAsia="黑体" w:cs="黑体"/>
                <w:b w:val="0"/>
                <w:bCs/>
                <w:color w:val="auto"/>
                <w:kern w:val="2"/>
                <w:sz w:val="21"/>
                <w:szCs w:val="24"/>
                <w:lang w:val="en-US" w:eastAsia="zh-CN" w:bidi="ar-SA"/>
              </w:rPr>
            </w:pPr>
            <w:r>
              <w:rPr>
                <w:rFonts w:hint="eastAsia" w:ascii="黑体" w:hAnsi="黑体" w:eastAsia="黑体" w:cs="黑体"/>
                <w:b w:val="0"/>
                <w:bCs/>
                <w:color w:val="auto"/>
                <w:kern w:val="2"/>
                <w:sz w:val="21"/>
                <w:szCs w:val="24"/>
                <w:lang w:val="en-US" w:eastAsia="zh-CN" w:bidi="ar-SA"/>
              </w:rPr>
              <w:t>2012年</w:t>
            </w:r>
          </w:p>
        </w:tc>
        <w:tc>
          <w:tcPr>
            <w:tcW w:w="1705" w:type="dxa"/>
            <w:shd w:val="clear" w:color="000000" w:fill="F2F2F2"/>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14.30%</w:t>
            </w:r>
          </w:p>
        </w:tc>
        <w:tc>
          <w:tcPr>
            <w:tcW w:w="1838" w:type="dxa"/>
            <w:shd w:val="clear" w:color="000000" w:fill="F2F2F2"/>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13.80%</w:t>
            </w:r>
          </w:p>
        </w:tc>
        <w:tc>
          <w:tcPr>
            <w:tcW w:w="1710" w:type="dxa"/>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560" w:type="dxa"/>
            <w:shd w:val="clear" w:color="000000" w:fill="F2F2F2"/>
            <w:vAlign w:val="center"/>
          </w:tcPr>
          <w:p>
            <w:pPr>
              <w:widowControl w:val="0"/>
              <w:spacing w:afterLines="0" w:line="240" w:lineRule="auto"/>
              <w:ind w:firstLine="0" w:firstLineChars="0"/>
              <w:jc w:val="center"/>
              <w:rPr>
                <w:rFonts w:ascii="黑体" w:hAnsi="黑体" w:eastAsia="黑体" w:cs="黑体"/>
                <w:b w:val="0"/>
                <w:bCs/>
                <w:color w:val="auto"/>
                <w:kern w:val="2"/>
                <w:sz w:val="21"/>
                <w:szCs w:val="24"/>
                <w:lang w:val="en-US" w:eastAsia="zh-CN" w:bidi="ar-SA"/>
              </w:rPr>
            </w:pPr>
            <w:r>
              <w:rPr>
                <w:rFonts w:hint="eastAsia" w:ascii="黑体" w:hAnsi="黑体" w:eastAsia="黑体" w:cs="黑体"/>
                <w:b w:val="0"/>
                <w:bCs/>
                <w:color w:val="auto"/>
                <w:kern w:val="2"/>
                <w:sz w:val="21"/>
                <w:szCs w:val="24"/>
                <w:lang w:val="en-US" w:eastAsia="zh-CN" w:bidi="ar-SA"/>
              </w:rPr>
              <w:t>2013年</w:t>
            </w:r>
          </w:p>
        </w:tc>
        <w:tc>
          <w:tcPr>
            <w:tcW w:w="1705" w:type="dxa"/>
            <w:shd w:val="clear" w:color="000000" w:fill="F2F2F2"/>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14.90%</w:t>
            </w:r>
          </w:p>
        </w:tc>
        <w:tc>
          <w:tcPr>
            <w:tcW w:w="1838" w:type="dxa"/>
            <w:shd w:val="clear" w:color="000000" w:fill="F2F2F2"/>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14%</w:t>
            </w:r>
          </w:p>
        </w:tc>
        <w:tc>
          <w:tcPr>
            <w:tcW w:w="1710" w:type="dxa"/>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560" w:type="dxa"/>
            <w:shd w:val="clear" w:color="000000" w:fill="F2F2F2"/>
            <w:vAlign w:val="center"/>
          </w:tcPr>
          <w:p>
            <w:pPr>
              <w:widowControl w:val="0"/>
              <w:spacing w:afterLines="0" w:line="240" w:lineRule="auto"/>
              <w:ind w:firstLine="0" w:firstLineChars="0"/>
              <w:jc w:val="center"/>
              <w:rPr>
                <w:rFonts w:ascii="黑体" w:hAnsi="黑体" w:eastAsia="黑体" w:cs="黑体"/>
                <w:b w:val="0"/>
                <w:bCs/>
                <w:color w:val="auto"/>
                <w:kern w:val="2"/>
                <w:sz w:val="21"/>
                <w:szCs w:val="24"/>
                <w:lang w:val="en-US" w:eastAsia="zh-CN" w:bidi="ar-SA"/>
              </w:rPr>
            </w:pPr>
            <w:r>
              <w:rPr>
                <w:rFonts w:hint="eastAsia" w:ascii="黑体" w:hAnsi="黑体" w:eastAsia="黑体" w:cs="黑体"/>
                <w:b w:val="0"/>
                <w:bCs/>
                <w:color w:val="auto"/>
                <w:kern w:val="2"/>
                <w:sz w:val="21"/>
                <w:szCs w:val="24"/>
                <w:lang w:val="en-US" w:eastAsia="zh-CN" w:bidi="ar-SA"/>
              </w:rPr>
              <w:t>2014年</w:t>
            </w:r>
          </w:p>
        </w:tc>
        <w:tc>
          <w:tcPr>
            <w:tcW w:w="1705" w:type="dxa"/>
            <w:shd w:val="clear" w:color="000000" w:fill="F2F2F2"/>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15.55%</w:t>
            </w:r>
          </w:p>
        </w:tc>
        <w:tc>
          <w:tcPr>
            <w:tcW w:w="1838" w:type="dxa"/>
            <w:shd w:val="clear" w:color="000000" w:fill="F2F2F2"/>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15%</w:t>
            </w:r>
          </w:p>
        </w:tc>
        <w:tc>
          <w:tcPr>
            <w:tcW w:w="1710" w:type="dxa"/>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560" w:type="dxa"/>
            <w:shd w:val="clear" w:color="000000" w:fill="F2F2F2"/>
            <w:vAlign w:val="center"/>
          </w:tcPr>
          <w:p>
            <w:pPr>
              <w:widowControl w:val="0"/>
              <w:spacing w:afterLines="0" w:line="240" w:lineRule="auto"/>
              <w:ind w:firstLine="0" w:firstLineChars="0"/>
              <w:jc w:val="center"/>
              <w:rPr>
                <w:rFonts w:ascii="黑体" w:hAnsi="黑体" w:eastAsia="黑体" w:cs="黑体"/>
                <w:b w:val="0"/>
                <w:bCs/>
                <w:color w:val="auto"/>
                <w:kern w:val="2"/>
                <w:sz w:val="21"/>
                <w:szCs w:val="24"/>
                <w:lang w:val="en-US" w:eastAsia="zh-CN" w:bidi="ar-SA"/>
              </w:rPr>
            </w:pPr>
            <w:r>
              <w:rPr>
                <w:rFonts w:hint="eastAsia" w:ascii="黑体" w:hAnsi="黑体" w:eastAsia="黑体" w:cs="黑体"/>
                <w:b w:val="0"/>
                <w:bCs/>
                <w:color w:val="auto"/>
                <w:kern w:val="2"/>
                <w:sz w:val="21"/>
                <w:szCs w:val="24"/>
                <w:lang w:val="en-US" w:eastAsia="zh-CN" w:bidi="ar-SA"/>
              </w:rPr>
              <w:t>2015年</w:t>
            </w:r>
          </w:p>
        </w:tc>
        <w:tc>
          <w:tcPr>
            <w:tcW w:w="1705" w:type="dxa"/>
            <w:shd w:val="clear" w:color="000000" w:fill="F2F2F2"/>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16.10%</w:t>
            </w:r>
          </w:p>
        </w:tc>
        <w:tc>
          <w:tcPr>
            <w:tcW w:w="1838" w:type="dxa"/>
            <w:shd w:val="clear" w:color="000000" w:fill="F2F2F2"/>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15.70%</w:t>
            </w:r>
          </w:p>
        </w:tc>
        <w:tc>
          <w:tcPr>
            <w:tcW w:w="1710" w:type="dxa"/>
            <w:shd w:val="clear" w:color="000000" w:fill="F2F2F2"/>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560" w:type="dxa"/>
            <w:vAlign w:val="center"/>
          </w:tcPr>
          <w:p>
            <w:pPr>
              <w:widowControl w:val="0"/>
              <w:spacing w:afterLines="0" w:line="240" w:lineRule="auto"/>
              <w:ind w:firstLine="0" w:firstLineChars="0"/>
              <w:jc w:val="center"/>
              <w:rPr>
                <w:rFonts w:ascii="黑体" w:hAnsi="黑体" w:eastAsia="黑体" w:cs="黑体"/>
                <w:b w:val="0"/>
                <w:bCs/>
                <w:color w:val="auto"/>
                <w:kern w:val="2"/>
                <w:sz w:val="21"/>
                <w:szCs w:val="24"/>
                <w:lang w:val="en-US" w:eastAsia="zh-CN" w:bidi="ar-SA"/>
              </w:rPr>
            </w:pPr>
            <w:r>
              <w:rPr>
                <w:rFonts w:hint="eastAsia" w:ascii="黑体" w:hAnsi="黑体" w:eastAsia="黑体" w:cs="黑体"/>
                <w:b w:val="0"/>
                <w:bCs/>
                <w:color w:val="auto"/>
                <w:kern w:val="2"/>
                <w:sz w:val="21"/>
                <w:szCs w:val="24"/>
                <w:lang w:val="en-US" w:eastAsia="zh-CN" w:bidi="ar-SA"/>
              </w:rPr>
              <w:t>2016年</w:t>
            </w:r>
          </w:p>
        </w:tc>
        <w:tc>
          <w:tcPr>
            <w:tcW w:w="1705" w:type="dxa"/>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16.70%</w:t>
            </w:r>
          </w:p>
        </w:tc>
        <w:tc>
          <w:tcPr>
            <w:tcW w:w="1838" w:type="dxa"/>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16.00%</w:t>
            </w:r>
          </w:p>
        </w:tc>
        <w:tc>
          <w:tcPr>
            <w:tcW w:w="1710" w:type="dxa"/>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560" w:type="dxa"/>
            <w:shd w:val="clear" w:color="000000" w:fill="F2F2F2"/>
            <w:vAlign w:val="center"/>
          </w:tcPr>
          <w:p>
            <w:pPr>
              <w:widowControl w:val="0"/>
              <w:spacing w:afterLines="0" w:line="240" w:lineRule="auto"/>
              <w:ind w:firstLine="0" w:firstLineChars="0"/>
              <w:jc w:val="center"/>
              <w:rPr>
                <w:rFonts w:ascii="黑体" w:hAnsi="黑体" w:eastAsia="黑体" w:cs="黑体"/>
                <w:b w:val="0"/>
                <w:bCs/>
                <w:color w:val="auto"/>
                <w:kern w:val="2"/>
                <w:sz w:val="21"/>
                <w:szCs w:val="24"/>
                <w:lang w:val="en-US" w:eastAsia="zh-CN" w:bidi="ar-SA"/>
              </w:rPr>
            </w:pPr>
            <w:r>
              <w:rPr>
                <w:rFonts w:hint="eastAsia" w:ascii="黑体" w:hAnsi="黑体" w:eastAsia="黑体" w:cs="黑体"/>
                <w:b w:val="0"/>
                <w:bCs/>
                <w:color w:val="auto"/>
                <w:kern w:val="2"/>
                <w:sz w:val="21"/>
                <w:szCs w:val="24"/>
                <w:lang w:val="en-US" w:eastAsia="zh-CN" w:bidi="ar-SA"/>
              </w:rPr>
              <w:t>2017年</w:t>
            </w:r>
          </w:p>
        </w:tc>
        <w:tc>
          <w:tcPr>
            <w:tcW w:w="1705" w:type="dxa"/>
            <w:shd w:val="clear" w:color="000000" w:fill="F2F2F2"/>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17.30%</w:t>
            </w:r>
          </w:p>
        </w:tc>
        <w:tc>
          <w:tcPr>
            <w:tcW w:w="1838" w:type="dxa"/>
            <w:shd w:val="clear" w:color="000000" w:fill="F2F2F2"/>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16.50%</w:t>
            </w:r>
          </w:p>
        </w:tc>
        <w:tc>
          <w:tcPr>
            <w:tcW w:w="1710" w:type="dxa"/>
            <w:shd w:val="clear" w:color="000000" w:fill="F2F2F2"/>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560" w:type="dxa"/>
            <w:vAlign w:val="center"/>
          </w:tcPr>
          <w:p>
            <w:pPr>
              <w:widowControl w:val="0"/>
              <w:spacing w:afterLines="0" w:line="240" w:lineRule="auto"/>
              <w:ind w:firstLine="0" w:firstLineChars="0"/>
              <w:jc w:val="center"/>
              <w:rPr>
                <w:rFonts w:ascii="黑体" w:hAnsi="黑体" w:eastAsia="黑体" w:cs="黑体"/>
                <w:b w:val="0"/>
                <w:bCs/>
                <w:color w:val="auto"/>
                <w:kern w:val="2"/>
                <w:sz w:val="21"/>
                <w:szCs w:val="24"/>
                <w:lang w:val="en-US" w:eastAsia="zh-CN" w:bidi="ar-SA"/>
              </w:rPr>
            </w:pPr>
            <w:r>
              <w:rPr>
                <w:rFonts w:hint="eastAsia" w:ascii="黑体" w:hAnsi="黑体" w:eastAsia="黑体" w:cs="黑体"/>
                <w:b w:val="0"/>
                <w:bCs/>
                <w:color w:val="auto"/>
                <w:kern w:val="2"/>
                <w:sz w:val="21"/>
                <w:szCs w:val="24"/>
                <w:lang w:val="en-US" w:eastAsia="zh-CN" w:bidi="ar-SA"/>
              </w:rPr>
              <w:t>2018年</w:t>
            </w:r>
          </w:p>
        </w:tc>
        <w:tc>
          <w:tcPr>
            <w:tcW w:w="1705" w:type="dxa"/>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17.90%</w:t>
            </w:r>
          </w:p>
        </w:tc>
        <w:tc>
          <w:tcPr>
            <w:tcW w:w="1838" w:type="dxa"/>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16.90%</w:t>
            </w:r>
          </w:p>
        </w:tc>
        <w:tc>
          <w:tcPr>
            <w:tcW w:w="1710" w:type="dxa"/>
            <w:vAlign w:val="center"/>
          </w:tcPr>
          <w:p>
            <w:pPr>
              <w:widowControl w:val="0"/>
              <w:spacing w:afterLines="0" w:line="240" w:lineRule="auto"/>
              <w:ind w:firstLine="0" w:firstLineChars="0"/>
              <w:jc w:val="center"/>
              <w:rPr>
                <w:rFonts w:ascii="黑体" w:hAnsi="黑体" w:eastAsia="仿宋" w:cs="黑体"/>
                <w:b w:val="0"/>
                <w:bCs/>
                <w:color w:val="auto"/>
                <w:kern w:val="2"/>
                <w:sz w:val="21"/>
                <w:szCs w:val="24"/>
                <w:lang w:val="en-US" w:eastAsia="zh-CN" w:bidi="ar-SA"/>
              </w:rPr>
            </w:pPr>
            <w:r>
              <w:rPr>
                <w:rFonts w:hint="eastAsia" w:ascii="黑体" w:hAnsi="黑体" w:eastAsia="仿宋" w:cs="黑体"/>
                <w:b w:val="0"/>
                <w:bCs/>
                <w:color w:val="auto"/>
                <w:kern w:val="2"/>
                <w:sz w:val="21"/>
                <w:szCs w:val="24"/>
                <w:lang w:val="en-US" w:eastAsia="zh-CN" w:bidi="ar-SA"/>
              </w:rPr>
              <w:t>1.00%</w:t>
            </w:r>
          </w:p>
        </w:tc>
      </w:tr>
    </w:tbl>
    <w:p>
      <w:pPr>
        <w:ind w:firstLine="600"/>
        <w:rPr>
          <w:rFonts w:ascii="仿宋_GB2312" w:eastAsia="仿宋_GB2312"/>
          <w:color w:val="auto"/>
        </w:rPr>
      </w:pPr>
      <w:r>
        <w:rPr>
          <w:rFonts w:hint="eastAsia" w:ascii="仿宋_GB2312" w:eastAsia="仿宋_GB2312"/>
          <w:color w:val="auto"/>
        </w:rPr>
        <w:t>日本与东京市在急速老龄化增长期的老龄化率逐渐拉大，东京市的老龄化率平均每3年比日本低一个百分点。因此，预测在2022年至2036年中国出现急速老龄化增长期之时，</w:t>
      </w:r>
      <w:bookmarkStart w:id="730" w:name="_Hlk28109345"/>
      <w:r>
        <w:rPr>
          <w:rFonts w:hint="eastAsia" w:ascii="仿宋_GB2312" w:eastAsia="仿宋_GB2312"/>
          <w:color w:val="auto"/>
        </w:rPr>
        <w:t>北京市与全国的老龄化率之差也会逐渐拉大</w:t>
      </w:r>
      <w:bookmarkEnd w:id="730"/>
      <w:r>
        <w:rPr>
          <w:rFonts w:hint="eastAsia" w:ascii="仿宋_GB2312" w:eastAsia="仿宋_GB2312"/>
          <w:color w:val="auto"/>
        </w:rPr>
        <w:t>。但这并不表示北京城市会年轻化，而是增长速度慢于全国老龄化增长速度。在急速老龄化增长期，全国老年人口基数会快速增加，而北京作为大都市会吸引年轻流动人口，从而减缓北京市老龄化率的增长。因此，与全国快速增长的老龄化率相比，北京市老龄化率会低于全国的老龄化率。</w:t>
      </w:r>
    </w:p>
    <w:p>
      <w:pPr>
        <w:ind w:firstLine="600"/>
        <w:rPr>
          <w:rFonts w:ascii="仿宋_GB2312" w:eastAsia="仿宋_GB2312"/>
          <w:color w:val="auto"/>
        </w:rPr>
      </w:pPr>
      <w:r>
        <w:rPr>
          <w:rFonts w:hint="eastAsia" w:ascii="仿宋_GB2312" w:eastAsia="仿宋_GB2312"/>
          <w:color w:val="auto"/>
        </w:rPr>
        <w:t>北京市在2015年到2018年3年间，与全国的老龄比拉低了0.6%，即使到急速老龄化增长期时没有加快与全国老龄化率之间距离，按照4年间与全国的老龄化率拉开了一个百分点的速度，到2035年北京市人口老龄化程度将比全国老龄化低4个百分点。</w:t>
      </w:r>
    </w:p>
    <w:p>
      <w:pPr>
        <w:ind w:firstLine="600"/>
        <w:rPr>
          <w:rFonts w:ascii="仿宋_GB2312" w:eastAsia="仿宋_GB2312"/>
          <w:color w:val="auto"/>
        </w:rPr>
      </w:pPr>
      <w:r>
        <w:rPr>
          <w:rFonts w:hint="eastAsia" w:ascii="仿宋_GB2312" w:eastAsia="仿宋_GB2312"/>
          <w:color w:val="auto"/>
        </w:rPr>
        <w:t>根据《国家应对人口老龄化战略研究报告》，到2035年全国老龄化率预计将达到29%，北京市的老龄化率预计达到25%。依据北京城市总体规划控制人口（含常住）规模的要求，到2035年全市常住人口规模不超过2300万，推算出全市60岁及以上常住老年人口在575万人以内。</w:t>
      </w:r>
    </w:p>
    <w:p>
      <w:pPr>
        <w:keepNext/>
        <w:keepLines/>
        <w:widowControl w:val="0"/>
        <w:spacing w:before="156" w:beforeLines="50" w:after="156" w:afterLines="50" w:line="264" w:lineRule="auto"/>
        <w:ind w:firstLine="0" w:firstLineChars="0"/>
        <w:jc w:val="both"/>
        <w:outlineLvl w:val="2"/>
        <w:rPr>
          <w:rFonts w:ascii="仿宋_GB2312" w:hAnsi="Times New Roman" w:eastAsia="仿宋_GB2312" w:cs="Times New Roman"/>
          <w:b/>
          <w:bCs/>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15．其他相关定义</w:t>
      </w:r>
      <w:bookmarkEnd w:id="720"/>
      <w:bookmarkEnd w:id="721"/>
      <w:bookmarkEnd w:id="722"/>
      <w:bookmarkEnd w:id="723"/>
      <w:bookmarkEnd w:id="724"/>
      <w:bookmarkEnd w:id="725"/>
    </w:p>
    <w:p>
      <w:pPr>
        <w:keepNext/>
        <w:keepLines/>
        <w:widowControl w:val="0"/>
        <w:spacing w:before="156" w:beforeLines="50" w:after="156" w:afterLines="50" w:line="264" w:lineRule="auto"/>
        <w:ind w:firstLine="602" w:firstLineChars="200"/>
        <w:jc w:val="both"/>
        <w:outlineLvl w:val="3"/>
        <w:rPr>
          <w:rFonts w:ascii="仿宋_GB2312" w:hAnsi="仿宋" w:eastAsia="仿宋_GB2312" w:cs="Times New Roman"/>
          <w:b/>
          <w:bCs/>
          <w:color w:val="auto"/>
          <w:kern w:val="2"/>
          <w:sz w:val="30"/>
          <w:szCs w:val="28"/>
          <w:lang w:val="en-US" w:eastAsia="zh-CN" w:bidi="ar-SA"/>
        </w:rPr>
      </w:pPr>
      <w:bookmarkStart w:id="731" w:name="_Toc11838597"/>
      <w:bookmarkStart w:id="732" w:name="_Toc22188_WPSOffice_Level2"/>
      <w:bookmarkStart w:id="733" w:name="_Toc7697_WPSOffice_Level2"/>
      <w:bookmarkStart w:id="734" w:name="_Toc17415_WPSOffice_Level2"/>
      <w:bookmarkStart w:id="735" w:name="_Toc1325_WPSOffice_Level2"/>
      <w:bookmarkStart w:id="736" w:name="_Toc7884_WPSOffice_Level2"/>
      <w:r>
        <w:rPr>
          <w:rFonts w:hint="eastAsia" w:ascii="仿宋_GB2312" w:hAnsi="仿宋" w:eastAsia="仿宋_GB2312" w:cs="Times New Roman"/>
          <w:b/>
          <w:bCs/>
          <w:color w:val="auto"/>
          <w:kern w:val="2"/>
          <w:sz w:val="30"/>
          <w:szCs w:val="28"/>
          <w:lang w:val="en-US" w:eastAsia="zh-CN" w:bidi="ar-SA"/>
        </w:rPr>
        <w:t>15.1区级养老服务指导中心</w:t>
      </w:r>
      <w:bookmarkEnd w:id="731"/>
      <w:bookmarkEnd w:id="732"/>
      <w:bookmarkEnd w:id="733"/>
      <w:bookmarkEnd w:id="734"/>
      <w:bookmarkEnd w:id="735"/>
      <w:bookmarkEnd w:id="736"/>
    </w:p>
    <w:p>
      <w:pPr>
        <w:ind w:firstLine="600"/>
        <w:rPr>
          <w:rFonts w:ascii="仿宋_GB2312" w:eastAsia="仿宋_GB2312"/>
          <w:color w:val="auto"/>
        </w:rPr>
      </w:pPr>
      <w:r>
        <w:rPr>
          <w:rFonts w:hint="eastAsia" w:ascii="仿宋_GB2312" w:eastAsia="仿宋_GB2312"/>
          <w:color w:val="auto"/>
        </w:rPr>
        <w:t>区级养老服务指导中心是各区养老服务体系的运行枢纽和指挥平台，发挥统筹、协调、组织、指导作用，承担区域养老资源整合、养老信息综合平台、养老行业监管指导、养老服务示范引导等方面重要职能。</w:t>
      </w:r>
    </w:p>
    <w:p>
      <w:pPr>
        <w:ind w:firstLine="600"/>
        <w:rPr>
          <w:color w:val="auto"/>
        </w:rPr>
      </w:pPr>
      <w:r>
        <w:rPr>
          <w:rFonts w:hint="eastAsia" w:ascii="仿宋_GB2312" w:hAnsi="黑体" w:eastAsia="仿宋_GB2312"/>
          <w:color w:val="auto"/>
        </w:rPr>
        <w:t>——</w:t>
      </w:r>
      <w:r>
        <w:rPr>
          <w:rFonts w:hint="eastAsia" w:ascii="仿宋_GB2312" w:eastAsia="仿宋_GB2312"/>
          <w:color w:val="auto"/>
        </w:rPr>
        <w:t>关于加强区级养老服务指导中心建设的意见（京老龄委发〔2016〕12号）</w:t>
      </w:r>
      <w:bookmarkStart w:id="737" w:name="_Toc10774_WPSOffice_Level2"/>
      <w:bookmarkStart w:id="738" w:name="_Toc10565_WPSOffice_Level2"/>
      <w:bookmarkStart w:id="739" w:name="_Toc29612_WPSOffice_Level2"/>
      <w:bookmarkStart w:id="740" w:name="_Toc9921_WPSOffice_Level2"/>
      <w:bookmarkStart w:id="741" w:name="_Toc18368_WPSOffice_Level2"/>
      <w:bookmarkStart w:id="742" w:name="_Toc11838600"/>
    </w:p>
    <w:p>
      <w:pPr>
        <w:widowControl/>
        <w:spacing w:line="240" w:lineRule="auto"/>
        <w:ind w:firstLine="0" w:firstLineChars="0"/>
        <w:jc w:val="left"/>
        <w:rPr>
          <w:color w:val="auto"/>
        </w:rPr>
      </w:pPr>
    </w:p>
    <w:p>
      <w:pPr>
        <w:widowControl/>
        <w:spacing w:line="240" w:lineRule="auto"/>
        <w:ind w:firstLine="0" w:firstLineChars="0"/>
        <w:jc w:val="left"/>
        <w:rPr>
          <w:color w:val="auto"/>
        </w:rPr>
      </w:pPr>
    </w:p>
    <w:p>
      <w:pPr>
        <w:widowControl/>
        <w:spacing w:line="240" w:lineRule="auto"/>
        <w:ind w:firstLine="0" w:firstLineChars="0"/>
        <w:jc w:val="left"/>
        <w:rPr>
          <w:color w:val="auto"/>
        </w:rPr>
      </w:pPr>
    </w:p>
    <w:p>
      <w:pPr>
        <w:widowControl/>
        <w:spacing w:line="240" w:lineRule="auto"/>
        <w:ind w:firstLine="0" w:firstLineChars="0"/>
        <w:jc w:val="left"/>
        <w:rPr>
          <w:color w:val="auto"/>
        </w:rPr>
      </w:pPr>
    </w:p>
    <w:p>
      <w:pPr>
        <w:keepNext/>
        <w:keepLines/>
        <w:widowControl w:val="0"/>
        <w:spacing w:before="156" w:beforeLines="50" w:after="156" w:afterLines="50" w:line="264" w:lineRule="auto"/>
        <w:ind w:firstLine="602" w:firstLineChars="200"/>
        <w:jc w:val="both"/>
        <w:outlineLvl w:val="3"/>
        <w:rPr>
          <w:rFonts w:ascii="仿宋_GB2312" w:hAnsi="仿宋" w:eastAsia="仿宋_GB2312" w:cs="Times New Roman"/>
          <w:b/>
          <w:bCs/>
          <w:color w:val="auto"/>
          <w:kern w:val="2"/>
          <w:sz w:val="30"/>
          <w:szCs w:val="28"/>
          <w:lang w:val="en-US" w:eastAsia="zh-CN" w:bidi="ar-SA"/>
        </w:rPr>
      </w:pPr>
      <w:r>
        <w:rPr>
          <w:rFonts w:hint="eastAsia" w:ascii="仿宋_GB2312" w:hAnsi="仿宋" w:eastAsia="仿宋_GB2312" w:cs="Times New Roman"/>
          <w:b/>
          <w:bCs/>
          <w:color w:val="auto"/>
          <w:kern w:val="2"/>
          <w:sz w:val="30"/>
          <w:szCs w:val="28"/>
          <w:lang w:val="en-US" w:eastAsia="zh-CN" w:bidi="ar-SA"/>
        </w:rPr>
        <w:t>15.2各类服务施建设标准</w:t>
      </w:r>
    </w:p>
    <w:p>
      <w:pPr>
        <w:widowControl w:val="0"/>
        <w:spacing w:after="156" w:afterLines="50" w:line="300" w:lineRule="auto"/>
        <w:ind w:firstLine="0" w:firstLineChars="0"/>
        <w:jc w:val="center"/>
        <w:rPr>
          <w:rFonts w:ascii="黑体" w:hAnsi="黑体" w:eastAsia="黑体" w:cs="Times New Roman"/>
          <w:color w:val="auto"/>
          <w:kern w:val="2"/>
          <w:sz w:val="30"/>
          <w:szCs w:val="24"/>
          <w:lang w:val="en-US" w:eastAsia="zh-CN" w:bidi="ar-SA"/>
        </w:rPr>
      </w:pPr>
      <w:bookmarkStart w:id="743" w:name="_Toc266_WPSOffice_Level3"/>
      <w:bookmarkStart w:id="744" w:name="_Toc4446_WPSOffice_Level3"/>
      <w:bookmarkStart w:id="745" w:name="_Toc1657_WPSOffice_Level3"/>
      <w:bookmarkStart w:id="746" w:name="_Toc8589_WPSOffice_Level3"/>
      <w:bookmarkStart w:id="747" w:name="_Toc12950_WPSOffice_Level3"/>
      <w:r>
        <w:rPr>
          <w:rFonts w:ascii="黑体" w:hAnsi="黑体" w:eastAsia="黑体" w:cs="Times New Roman"/>
          <w:color w:val="auto"/>
          <w:kern w:val="2"/>
          <w:sz w:val="30"/>
          <w:szCs w:val="24"/>
          <w:lang w:val="en-US" w:eastAsia="zh-CN" w:bidi="ar-SA"/>
        </w:rPr>
        <w:t>表</w:t>
      </w:r>
      <w:r>
        <w:rPr>
          <w:rFonts w:hint="eastAsia" w:ascii="黑体" w:hAnsi="黑体" w:eastAsia="黑体" w:cs="Times New Roman"/>
          <w:color w:val="auto"/>
          <w:kern w:val="2"/>
          <w:sz w:val="30"/>
          <w:szCs w:val="24"/>
          <w:lang w:val="en-US" w:eastAsia="zh-CN" w:bidi="ar-SA"/>
        </w:rPr>
        <w:t>42</w:t>
      </w:r>
      <w:r>
        <w:rPr>
          <w:rFonts w:ascii="黑体" w:hAnsi="黑体" w:eastAsia="黑体" w:cs="Times New Roman"/>
          <w:color w:val="auto"/>
          <w:kern w:val="2"/>
          <w:sz w:val="30"/>
          <w:szCs w:val="24"/>
          <w:lang w:val="en-US" w:eastAsia="zh-CN" w:bidi="ar-SA"/>
        </w:rPr>
        <w:t>各类</w:t>
      </w:r>
      <w:r>
        <w:rPr>
          <w:rFonts w:hint="eastAsia" w:ascii="黑体" w:hAnsi="黑体" w:eastAsia="黑体" w:cs="Times New Roman"/>
          <w:color w:val="auto"/>
          <w:kern w:val="2"/>
          <w:sz w:val="30"/>
          <w:szCs w:val="24"/>
          <w:lang w:val="en-US" w:eastAsia="zh-CN" w:bidi="ar-SA"/>
        </w:rPr>
        <w:t>服务</w:t>
      </w:r>
      <w:r>
        <w:rPr>
          <w:rFonts w:ascii="黑体" w:hAnsi="黑体" w:eastAsia="黑体" w:cs="Times New Roman"/>
          <w:color w:val="auto"/>
          <w:kern w:val="2"/>
          <w:sz w:val="30"/>
          <w:szCs w:val="24"/>
          <w:lang w:val="en-US" w:eastAsia="zh-CN" w:bidi="ar-SA"/>
        </w:rPr>
        <w:t>设施建设标准</w:t>
      </w:r>
      <w:bookmarkEnd w:id="743"/>
      <w:bookmarkEnd w:id="744"/>
      <w:bookmarkEnd w:id="745"/>
      <w:bookmarkEnd w:id="746"/>
      <w:bookmarkEnd w:id="747"/>
    </w:p>
    <w:tbl>
      <w:tblPr>
        <w:tblStyle w:val="39"/>
        <w:tblW w:w="9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998"/>
        <w:gridCol w:w="1492"/>
        <w:gridCol w:w="1720"/>
        <w:gridCol w:w="8"/>
        <w:gridCol w:w="3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369"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hint="eastAsia" w:ascii="黑体" w:hAnsi="黑体" w:eastAsia="黑体" w:cs="黑体"/>
                <w:b w:val="0"/>
                <w:bCs w:val="0"/>
                <w:color w:val="auto"/>
                <w:kern w:val="2"/>
                <w:sz w:val="21"/>
                <w:szCs w:val="24"/>
                <w:lang w:val="en-US" w:eastAsia="zh-CN" w:bidi="ar-SA"/>
              </w:rPr>
              <w:t>设施名称</w:t>
            </w:r>
          </w:p>
        </w:tc>
        <w:tc>
          <w:tcPr>
            <w:tcW w:w="998"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hint="eastAsia" w:ascii="黑体" w:hAnsi="黑体" w:eastAsia="黑体" w:cs="黑体"/>
                <w:b w:val="0"/>
                <w:bCs w:val="0"/>
                <w:color w:val="auto"/>
                <w:kern w:val="2"/>
                <w:sz w:val="21"/>
                <w:szCs w:val="24"/>
                <w:lang w:val="en-US" w:eastAsia="zh-CN" w:bidi="ar-SA"/>
              </w:rPr>
              <w:t>建设区域</w:t>
            </w:r>
          </w:p>
        </w:tc>
        <w:tc>
          <w:tcPr>
            <w:tcW w:w="1492"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hint="eastAsia" w:ascii="黑体" w:hAnsi="黑体" w:eastAsia="黑体" w:cs="黑体"/>
                <w:b w:val="0"/>
                <w:bCs w:val="0"/>
                <w:color w:val="auto"/>
                <w:kern w:val="2"/>
                <w:sz w:val="21"/>
                <w:szCs w:val="24"/>
                <w:lang w:val="en-US" w:eastAsia="zh-CN" w:bidi="ar-SA"/>
              </w:rPr>
              <w:t>每处服务规模</w:t>
            </w:r>
          </w:p>
        </w:tc>
        <w:tc>
          <w:tcPr>
            <w:tcW w:w="1728" w:type="dxa"/>
            <w:gridSpan w:val="2"/>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hint="eastAsia" w:ascii="黑体" w:hAnsi="黑体" w:eastAsia="黑体" w:cs="黑体"/>
                <w:b w:val="0"/>
                <w:bCs w:val="0"/>
                <w:color w:val="auto"/>
                <w:kern w:val="2"/>
                <w:sz w:val="21"/>
                <w:szCs w:val="24"/>
                <w:lang w:val="en-US" w:eastAsia="zh-CN" w:bidi="ar-SA"/>
              </w:rPr>
              <w:t>每处一般规模</w:t>
            </w:r>
          </w:p>
        </w:tc>
        <w:tc>
          <w:tcPr>
            <w:tcW w:w="3547"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hint="eastAsia" w:ascii="黑体" w:hAnsi="黑体" w:eastAsia="黑体" w:cs="黑体"/>
                <w:b w:val="0"/>
                <w:bCs w:val="0"/>
                <w:color w:val="auto"/>
                <w:kern w:val="2"/>
                <w:sz w:val="21"/>
                <w:szCs w:val="24"/>
                <w:lang w:val="en-US" w:eastAsia="zh-CN" w:bidi="ar-SA"/>
              </w:rPr>
              <w:t>具体建设要求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1369" w:type="dxa"/>
            <w:vMerge w:val="restart"/>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就近安排的机构养老服务设施（含街乡镇养老照料中心）</w:t>
            </w:r>
          </w:p>
        </w:tc>
        <w:tc>
          <w:tcPr>
            <w:tcW w:w="998" w:type="dxa"/>
            <w:vAlign w:val="center"/>
          </w:tcPr>
          <w:p>
            <w:pPr>
              <w:widowControl w:val="0"/>
              <w:spacing w:afterLines="0" w:line="300" w:lineRule="exact"/>
              <w:ind w:firstLine="0" w:firstLineChars="0"/>
              <w:jc w:val="center"/>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核心区</w:t>
            </w:r>
          </w:p>
        </w:tc>
        <w:tc>
          <w:tcPr>
            <w:tcW w:w="1492" w:type="dxa"/>
            <w:vMerge w:val="restart"/>
            <w:vAlign w:val="center"/>
          </w:tcPr>
          <w:p>
            <w:pPr>
              <w:widowControl w:val="0"/>
              <w:spacing w:afterLines="0" w:line="300" w:lineRule="exact"/>
              <w:ind w:firstLine="0" w:firstLineChars="0"/>
              <w:jc w:val="left"/>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至2035年，每个街乡镇至少建设一处养老照料中心</w:t>
            </w:r>
          </w:p>
        </w:tc>
        <w:tc>
          <w:tcPr>
            <w:tcW w:w="1728" w:type="dxa"/>
            <w:gridSpan w:val="2"/>
            <w:vAlign w:val="center"/>
          </w:tcPr>
          <w:p>
            <w:pPr>
              <w:widowControl w:val="0"/>
              <w:spacing w:afterLines="0" w:line="300" w:lineRule="exact"/>
              <w:ind w:firstLine="0" w:firstLineChars="0"/>
              <w:jc w:val="center"/>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不高于100床</w:t>
            </w:r>
          </w:p>
        </w:tc>
        <w:tc>
          <w:tcPr>
            <w:tcW w:w="3547" w:type="dxa"/>
            <w:vMerge w:val="restart"/>
            <w:vAlign w:val="center"/>
          </w:tcPr>
          <w:p>
            <w:pPr>
              <w:widowControl w:val="0"/>
              <w:spacing w:afterLines="0" w:line="300" w:lineRule="exact"/>
              <w:ind w:firstLine="0" w:firstLineChars="0"/>
              <w:jc w:val="left"/>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每30-40万平方米住宅配建100床；</w:t>
            </w:r>
          </w:p>
          <w:p>
            <w:pPr>
              <w:widowControl w:val="0"/>
              <w:spacing w:afterLines="0" w:line="300" w:lineRule="exact"/>
              <w:ind w:firstLine="0" w:firstLineChars="0"/>
              <w:jc w:val="left"/>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新建机构床均建筑面积不低于40平方米；</w:t>
            </w:r>
          </w:p>
          <w:p>
            <w:pPr>
              <w:widowControl w:val="0"/>
              <w:spacing w:afterLines="0" w:line="300" w:lineRule="exact"/>
              <w:ind w:firstLine="0" w:firstLineChars="0"/>
              <w:jc w:val="left"/>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现状改扩建和其他设施改建机构床均建筑面积不低于30平方米。</w:t>
            </w:r>
          </w:p>
          <w:p>
            <w:pPr>
              <w:widowControl w:val="0"/>
              <w:spacing w:afterLines="0" w:line="300" w:lineRule="exact"/>
              <w:ind w:firstLine="0" w:firstLineChars="0"/>
              <w:jc w:val="left"/>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200床及以上需为独栋建筑，有室外活动场地；</w:t>
            </w:r>
          </w:p>
          <w:p>
            <w:pPr>
              <w:widowControl w:val="0"/>
              <w:spacing w:afterLines="0" w:line="300" w:lineRule="exact"/>
              <w:ind w:firstLine="0" w:firstLineChars="0"/>
              <w:jc w:val="left"/>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新建机构建筑高度不宜大于32米、容积率一般为1.2-2.0，现状改扩建和其他设施改建机构建筑高度不应大于54米、容积率不应超过2.5。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369" w:type="dxa"/>
            <w:vMerge w:val="continue"/>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p>
        </w:tc>
        <w:tc>
          <w:tcPr>
            <w:tcW w:w="998" w:type="dxa"/>
            <w:vAlign w:val="center"/>
          </w:tcPr>
          <w:p>
            <w:pPr>
              <w:widowControl w:val="0"/>
              <w:spacing w:afterLines="0" w:line="300" w:lineRule="exact"/>
              <w:ind w:firstLine="0" w:firstLineChars="0"/>
              <w:jc w:val="center"/>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中心城区</w:t>
            </w:r>
          </w:p>
        </w:tc>
        <w:tc>
          <w:tcPr>
            <w:tcW w:w="1492" w:type="dxa"/>
            <w:vMerge w:val="continue"/>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p>
        </w:tc>
        <w:tc>
          <w:tcPr>
            <w:tcW w:w="1728" w:type="dxa"/>
            <w:gridSpan w:val="2"/>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50-150床</w:t>
            </w:r>
          </w:p>
        </w:tc>
        <w:tc>
          <w:tcPr>
            <w:tcW w:w="3547" w:type="dxa"/>
            <w:vMerge w:val="continue"/>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369" w:type="dxa"/>
            <w:vMerge w:val="continue"/>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p>
        </w:tc>
        <w:tc>
          <w:tcPr>
            <w:tcW w:w="998" w:type="dxa"/>
            <w:vAlign w:val="center"/>
          </w:tcPr>
          <w:p>
            <w:pPr>
              <w:widowControl w:val="0"/>
              <w:spacing w:afterLines="0" w:line="300" w:lineRule="exact"/>
              <w:ind w:firstLine="0" w:firstLineChars="0"/>
              <w:jc w:val="center"/>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副中心</w:t>
            </w:r>
          </w:p>
        </w:tc>
        <w:tc>
          <w:tcPr>
            <w:tcW w:w="1492" w:type="dxa"/>
            <w:vMerge w:val="continue"/>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p>
        </w:tc>
        <w:tc>
          <w:tcPr>
            <w:tcW w:w="1728" w:type="dxa"/>
            <w:gridSpan w:val="2"/>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100-500床</w:t>
            </w:r>
          </w:p>
        </w:tc>
        <w:tc>
          <w:tcPr>
            <w:tcW w:w="3547" w:type="dxa"/>
            <w:vMerge w:val="continue"/>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jc w:val="center"/>
        </w:trPr>
        <w:tc>
          <w:tcPr>
            <w:tcW w:w="1369" w:type="dxa"/>
            <w:vMerge w:val="continue"/>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p>
        </w:tc>
        <w:tc>
          <w:tcPr>
            <w:tcW w:w="998" w:type="dxa"/>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多点地区及生态涵养区</w:t>
            </w:r>
          </w:p>
        </w:tc>
        <w:tc>
          <w:tcPr>
            <w:tcW w:w="1492" w:type="dxa"/>
            <w:vMerge w:val="continue"/>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p>
        </w:tc>
        <w:tc>
          <w:tcPr>
            <w:tcW w:w="1728" w:type="dxa"/>
            <w:gridSpan w:val="2"/>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100-500床</w:t>
            </w:r>
          </w:p>
        </w:tc>
        <w:tc>
          <w:tcPr>
            <w:tcW w:w="3547" w:type="dxa"/>
            <w:vMerge w:val="continue"/>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369" w:type="dxa"/>
            <w:vMerge w:val="restart"/>
            <w:vAlign w:val="center"/>
          </w:tcPr>
          <w:p>
            <w:pPr>
              <w:widowControl w:val="0"/>
              <w:spacing w:afterLines="0" w:line="300" w:lineRule="exact"/>
              <w:ind w:firstLine="0" w:firstLineChars="0"/>
              <w:jc w:val="center"/>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社区养老</w:t>
            </w:r>
          </w:p>
          <w:p>
            <w:pPr>
              <w:widowControl w:val="0"/>
              <w:spacing w:afterLines="0" w:line="300" w:lineRule="exact"/>
              <w:ind w:firstLine="0" w:firstLineChars="0"/>
              <w:jc w:val="center"/>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服务驿站</w:t>
            </w:r>
          </w:p>
        </w:tc>
        <w:tc>
          <w:tcPr>
            <w:tcW w:w="998" w:type="dxa"/>
            <w:vMerge w:val="restart"/>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城镇新建、改建地区</w:t>
            </w:r>
          </w:p>
        </w:tc>
        <w:tc>
          <w:tcPr>
            <w:tcW w:w="1492" w:type="dxa"/>
            <w:vMerge w:val="restart"/>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服务半径1000米及社区范围内</w:t>
            </w:r>
          </w:p>
        </w:tc>
        <w:tc>
          <w:tcPr>
            <w:tcW w:w="1728" w:type="dxa"/>
            <w:gridSpan w:val="2"/>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A型驿站总建筑面积控制在1000</w:t>
            </w:r>
            <w:r>
              <w:rPr>
                <w:rFonts w:hint="eastAsia" w:ascii="仿宋_GB2312" w:hAnsi="黑体" w:eastAsia="仿宋" w:cs="黑体"/>
                <w:b w:val="0"/>
                <w:bCs w:val="0"/>
                <w:color w:val="auto"/>
                <w:kern w:val="2"/>
                <w:sz w:val="21"/>
                <w:szCs w:val="21"/>
                <w:lang w:val="en-US" w:eastAsia="zh-CN" w:bidi="ar-SA"/>
              </w:rPr>
              <w:t>㎡</w:t>
            </w:r>
            <w:r>
              <w:rPr>
                <w:rFonts w:hint="eastAsia" w:ascii="仿宋_GB2312" w:hAnsi="黑体" w:eastAsia="仿宋_GB2312" w:cs="黑体"/>
                <w:b w:val="0"/>
                <w:bCs w:val="0"/>
                <w:color w:val="auto"/>
                <w:kern w:val="2"/>
                <w:sz w:val="21"/>
                <w:szCs w:val="21"/>
                <w:lang w:val="en-US" w:eastAsia="zh-CN" w:bidi="ar-SA"/>
              </w:rPr>
              <w:t>以内</w:t>
            </w:r>
          </w:p>
        </w:tc>
        <w:tc>
          <w:tcPr>
            <w:tcW w:w="3547" w:type="dxa"/>
            <w:vMerge w:val="restart"/>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位于建筑低层，有独立出入口；或是独立设施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1369" w:type="dxa"/>
            <w:vMerge w:val="continue"/>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p>
        </w:tc>
        <w:tc>
          <w:tcPr>
            <w:tcW w:w="998" w:type="dxa"/>
            <w:vMerge w:val="continue"/>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p>
        </w:tc>
        <w:tc>
          <w:tcPr>
            <w:tcW w:w="1492" w:type="dxa"/>
            <w:vMerge w:val="continue"/>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p>
        </w:tc>
        <w:tc>
          <w:tcPr>
            <w:tcW w:w="1728" w:type="dxa"/>
            <w:gridSpan w:val="2"/>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B型驿站总建筑面积500</w:t>
            </w:r>
            <w:r>
              <w:rPr>
                <w:rFonts w:hint="eastAsia" w:ascii="仿宋_GB2312" w:hAnsi="黑体" w:eastAsia="仿宋" w:cs="黑体"/>
                <w:b w:val="0"/>
                <w:bCs w:val="0"/>
                <w:color w:val="auto"/>
                <w:kern w:val="2"/>
                <w:sz w:val="21"/>
                <w:szCs w:val="21"/>
                <w:lang w:val="en-US" w:eastAsia="zh-CN" w:bidi="ar-SA"/>
              </w:rPr>
              <w:t>㎡</w:t>
            </w:r>
            <w:r>
              <w:rPr>
                <w:rFonts w:hint="eastAsia" w:ascii="仿宋_GB2312" w:hAnsi="黑体" w:eastAsia="仿宋_GB2312" w:cs="黑体"/>
                <w:b w:val="0"/>
                <w:bCs w:val="0"/>
                <w:color w:val="auto"/>
                <w:kern w:val="2"/>
                <w:sz w:val="21"/>
                <w:szCs w:val="21"/>
                <w:lang w:val="en-US" w:eastAsia="zh-CN" w:bidi="ar-SA"/>
              </w:rPr>
              <w:t>左右</w:t>
            </w:r>
          </w:p>
        </w:tc>
        <w:tc>
          <w:tcPr>
            <w:tcW w:w="3547" w:type="dxa"/>
            <w:vMerge w:val="continue"/>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4" w:hRule="atLeast"/>
          <w:jc w:val="center"/>
        </w:trPr>
        <w:tc>
          <w:tcPr>
            <w:tcW w:w="1369" w:type="dxa"/>
            <w:vMerge w:val="continue"/>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p>
        </w:tc>
        <w:tc>
          <w:tcPr>
            <w:tcW w:w="998" w:type="dxa"/>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城镇已建成区（如老旧小区等可利用用地资源较少地区）</w:t>
            </w:r>
          </w:p>
        </w:tc>
        <w:tc>
          <w:tcPr>
            <w:tcW w:w="1492" w:type="dxa"/>
            <w:vMerge w:val="continue"/>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p>
        </w:tc>
        <w:tc>
          <w:tcPr>
            <w:tcW w:w="1728" w:type="dxa"/>
            <w:gridSpan w:val="2"/>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C型驿站总建筑面积300</w:t>
            </w:r>
            <w:r>
              <w:rPr>
                <w:rFonts w:hint="eastAsia" w:ascii="仿宋_GB2312" w:hAnsi="黑体" w:eastAsia="仿宋" w:cs="黑体"/>
                <w:b w:val="0"/>
                <w:bCs w:val="0"/>
                <w:color w:val="auto"/>
                <w:kern w:val="2"/>
                <w:sz w:val="21"/>
                <w:szCs w:val="21"/>
                <w:lang w:val="en-US" w:eastAsia="zh-CN" w:bidi="ar-SA"/>
              </w:rPr>
              <w:t>㎡</w:t>
            </w:r>
            <w:r>
              <w:rPr>
                <w:rFonts w:hint="eastAsia" w:ascii="仿宋_GB2312" w:hAnsi="黑体" w:eastAsia="仿宋_GB2312" w:cs="黑体"/>
                <w:b w:val="0"/>
                <w:bCs w:val="0"/>
                <w:color w:val="auto"/>
                <w:kern w:val="2"/>
                <w:sz w:val="21"/>
                <w:szCs w:val="21"/>
                <w:lang w:val="en-US" w:eastAsia="zh-CN" w:bidi="ar-SA"/>
              </w:rPr>
              <w:t>左右</w:t>
            </w:r>
          </w:p>
        </w:tc>
        <w:tc>
          <w:tcPr>
            <w:tcW w:w="3547" w:type="dxa"/>
            <w:vMerge w:val="continue"/>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1369" w:type="dxa"/>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设施名称</w:t>
            </w:r>
          </w:p>
        </w:tc>
        <w:tc>
          <w:tcPr>
            <w:tcW w:w="998" w:type="dxa"/>
            <w:vAlign w:val="center"/>
          </w:tcPr>
          <w:p>
            <w:pPr>
              <w:widowControl w:val="0"/>
              <w:spacing w:afterLines="0" w:line="300" w:lineRule="exact"/>
              <w:ind w:firstLine="0" w:firstLineChars="0"/>
              <w:jc w:val="center"/>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建设</w:t>
            </w:r>
          </w:p>
          <w:p>
            <w:pPr>
              <w:widowControl w:val="0"/>
              <w:spacing w:afterLines="0" w:line="300" w:lineRule="exact"/>
              <w:ind w:firstLine="0" w:firstLineChars="0"/>
              <w:jc w:val="center"/>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区域</w:t>
            </w:r>
          </w:p>
        </w:tc>
        <w:tc>
          <w:tcPr>
            <w:tcW w:w="1492" w:type="dxa"/>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每处服务规模</w:t>
            </w:r>
          </w:p>
        </w:tc>
        <w:tc>
          <w:tcPr>
            <w:tcW w:w="1720" w:type="dxa"/>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每处一般规模</w:t>
            </w:r>
          </w:p>
        </w:tc>
        <w:tc>
          <w:tcPr>
            <w:tcW w:w="3555" w:type="dxa"/>
            <w:gridSpan w:val="2"/>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具体建设要求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1369" w:type="dxa"/>
            <w:vMerge w:val="restart"/>
            <w:vAlign w:val="center"/>
          </w:tcPr>
          <w:p>
            <w:pPr>
              <w:widowControl w:val="0"/>
              <w:spacing w:afterLines="0" w:line="300" w:lineRule="exact"/>
              <w:ind w:firstLine="0" w:firstLineChars="0"/>
              <w:jc w:val="center"/>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农村幸福</w:t>
            </w:r>
          </w:p>
          <w:p>
            <w:pPr>
              <w:widowControl w:val="0"/>
              <w:spacing w:afterLines="0" w:line="300" w:lineRule="exact"/>
              <w:ind w:firstLine="0" w:firstLineChars="0"/>
              <w:jc w:val="center"/>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晚年驿站</w:t>
            </w:r>
          </w:p>
        </w:tc>
        <w:tc>
          <w:tcPr>
            <w:tcW w:w="998" w:type="dxa"/>
            <w:vMerge w:val="restart"/>
            <w:vAlign w:val="center"/>
          </w:tcPr>
          <w:p>
            <w:pPr>
              <w:widowControl w:val="0"/>
              <w:spacing w:afterLines="0" w:line="300" w:lineRule="exact"/>
              <w:ind w:firstLine="0" w:firstLineChars="0"/>
              <w:jc w:val="center"/>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村庄</w:t>
            </w:r>
          </w:p>
        </w:tc>
        <w:tc>
          <w:tcPr>
            <w:tcW w:w="1492" w:type="dxa"/>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500户及以上</w:t>
            </w:r>
          </w:p>
        </w:tc>
        <w:tc>
          <w:tcPr>
            <w:tcW w:w="1720" w:type="dxa"/>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300-1000</w:t>
            </w:r>
          </w:p>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平方米</w:t>
            </w:r>
          </w:p>
        </w:tc>
        <w:tc>
          <w:tcPr>
            <w:tcW w:w="3555" w:type="dxa"/>
            <w:gridSpan w:val="2"/>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对应特大型、大型村庄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1369" w:type="dxa"/>
            <w:vMerge w:val="continue"/>
            <w:vAlign w:val="center"/>
          </w:tcPr>
          <w:p>
            <w:pPr>
              <w:widowControl w:val="0"/>
              <w:spacing w:afterLines="0" w:line="300" w:lineRule="exact"/>
              <w:ind w:firstLine="0" w:firstLineChars="0"/>
              <w:jc w:val="center"/>
              <w:rPr>
                <w:rFonts w:ascii="仿宋_GB2312" w:hAnsi="黑体" w:eastAsia="仿宋_GB2312" w:cs="黑体"/>
                <w:b w:val="0"/>
                <w:bCs w:val="0"/>
                <w:color w:val="auto"/>
                <w:kern w:val="2"/>
                <w:sz w:val="21"/>
                <w:szCs w:val="21"/>
                <w:lang w:val="en-US" w:eastAsia="zh-CN" w:bidi="ar-SA"/>
              </w:rPr>
            </w:pPr>
          </w:p>
        </w:tc>
        <w:tc>
          <w:tcPr>
            <w:tcW w:w="998" w:type="dxa"/>
            <w:vMerge w:val="continue"/>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p>
        </w:tc>
        <w:tc>
          <w:tcPr>
            <w:tcW w:w="1492" w:type="dxa"/>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500户以下</w:t>
            </w:r>
          </w:p>
        </w:tc>
        <w:tc>
          <w:tcPr>
            <w:tcW w:w="1720" w:type="dxa"/>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按需建设</w:t>
            </w:r>
          </w:p>
        </w:tc>
        <w:tc>
          <w:tcPr>
            <w:tcW w:w="3555" w:type="dxa"/>
            <w:gridSpan w:val="2"/>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老年活动室用地不宜少于50平方米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1369" w:type="dxa"/>
            <w:vAlign w:val="center"/>
          </w:tcPr>
          <w:p>
            <w:pPr>
              <w:widowControl w:val="0"/>
              <w:spacing w:afterLines="0" w:line="300" w:lineRule="exact"/>
              <w:ind w:firstLine="0" w:firstLineChars="0"/>
              <w:jc w:val="center"/>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残疾人</w:t>
            </w:r>
          </w:p>
          <w:p>
            <w:pPr>
              <w:widowControl w:val="0"/>
              <w:spacing w:afterLines="0" w:line="300" w:lineRule="exact"/>
              <w:ind w:firstLine="0" w:firstLineChars="0"/>
              <w:jc w:val="center"/>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托养所</w:t>
            </w:r>
          </w:p>
        </w:tc>
        <w:tc>
          <w:tcPr>
            <w:tcW w:w="998" w:type="dxa"/>
            <w:vAlign w:val="center"/>
          </w:tcPr>
          <w:p>
            <w:pPr>
              <w:widowControl w:val="0"/>
              <w:spacing w:afterLines="0" w:line="300" w:lineRule="exact"/>
              <w:ind w:firstLine="0" w:firstLineChars="0"/>
              <w:jc w:val="center"/>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城镇</w:t>
            </w:r>
          </w:p>
          <w:p>
            <w:pPr>
              <w:widowControl w:val="0"/>
              <w:spacing w:afterLines="0" w:line="300" w:lineRule="exact"/>
              <w:ind w:firstLine="0" w:firstLineChars="0"/>
              <w:jc w:val="center"/>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地区</w:t>
            </w:r>
          </w:p>
        </w:tc>
        <w:tc>
          <w:tcPr>
            <w:tcW w:w="1492" w:type="dxa"/>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3万人</w:t>
            </w:r>
          </w:p>
        </w:tc>
        <w:tc>
          <w:tcPr>
            <w:tcW w:w="1720" w:type="dxa"/>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1床/千人</w:t>
            </w:r>
          </w:p>
        </w:tc>
        <w:tc>
          <w:tcPr>
            <w:tcW w:w="3555" w:type="dxa"/>
            <w:gridSpan w:val="2"/>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如单独建设，床位数不少于100张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1369" w:type="dxa"/>
            <w:vAlign w:val="center"/>
          </w:tcPr>
          <w:p>
            <w:pPr>
              <w:widowControl w:val="0"/>
              <w:spacing w:afterLines="0" w:line="300" w:lineRule="exact"/>
              <w:ind w:firstLine="0" w:firstLineChars="0"/>
              <w:jc w:val="center"/>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社区助残</w:t>
            </w:r>
          </w:p>
          <w:p>
            <w:pPr>
              <w:widowControl w:val="0"/>
              <w:spacing w:afterLines="0" w:line="300" w:lineRule="exact"/>
              <w:ind w:firstLine="0" w:firstLineChars="0"/>
              <w:jc w:val="center"/>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服务中心（温馨家园）</w:t>
            </w:r>
          </w:p>
        </w:tc>
        <w:tc>
          <w:tcPr>
            <w:tcW w:w="2490" w:type="dxa"/>
            <w:gridSpan w:val="2"/>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每个街道（乡镇）一处</w:t>
            </w:r>
          </w:p>
        </w:tc>
        <w:tc>
          <w:tcPr>
            <w:tcW w:w="1720" w:type="dxa"/>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300平方米</w:t>
            </w:r>
          </w:p>
        </w:tc>
        <w:tc>
          <w:tcPr>
            <w:tcW w:w="3555" w:type="dxa"/>
            <w:gridSpan w:val="2"/>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位于建筑低层，有独立出入口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1369" w:type="dxa"/>
            <w:vAlign w:val="center"/>
          </w:tcPr>
          <w:p>
            <w:pPr>
              <w:widowControl w:val="0"/>
              <w:spacing w:afterLines="0" w:line="300" w:lineRule="exact"/>
              <w:ind w:firstLine="0" w:firstLineChars="0"/>
              <w:jc w:val="center"/>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儿童福利院</w:t>
            </w:r>
          </w:p>
        </w:tc>
        <w:tc>
          <w:tcPr>
            <w:tcW w:w="2490" w:type="dxa"/>
            <w:gridSpan w:val="2"/>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每个行政区一处</w:t>
            </w:r>
          </w:p>
        </w:tc>
        <w:tc>
          <w:tcPr>
            <w:tcW w:w="1720" w:type="dxa"/>
            <w:vAlign w:val="center"/>
          </w:tcPr>
          <w:p>
            <w:pPr>
              <w:widowControl w:val="0"/>
              <w:spacing w:afterLines="0" w:line="300" w:lineRule="exact"/>
              <w:ind w:firstLine="0" w:firstLineChars="0"/>
              <w:jc w:val="both"/>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不少于100床</w:t>
            </w:r>
          </w:p>
        </w:tc>
        <w:tc>
          <w:tcPr>
            <w:tcW w:w="3555" w:type="dxa"/>
            <w:gridSpan w:val="2"/>
            <w:vAlign w:val="center"/>
          </w:tcPr>
          <w:p>
            <w:pPr>
              <w:widowControl w:val="0"/>
              <w:spacing w:afterLines="0" w:line="300" w:lineRule="exact"/>
              <w:ind w:firstLine="0" w:firstLineChars="0"/>
              <w:jc w:val="center"/>
              <w:rPr>
                <w:rFonts w:ascii="仿宋_GB2312" w:hAnsi="黑体" w:eastAsia="仿宋_GB2312" w:cs="黑体"/>
                <w:b w:val="0"/>
                <w:bCs w:val="0"/>
                <w:color w:val="auto"/>
                <w:kern w:val="2"/>
                <w:sz w:val="21"/>
                <w:szCs w:val="21"/>
                <w:lang w:val="en-US" w:eastAsia="zh-CN" w:bidi="ar-SA"/>
              </w:rPr>
            </w:pPr>
            <w:r>
              <w:rPr>
                <w:rFonts w:hint="eastAsia" w:ascii="仿宋_GB2312" w:hAnsi="黑体" w:eastAsia="仿宋_GB2312" w:cs="黑体"/>
                <w:b w:val="0"/>
                <w:bCs w:val="0"/>
                <w:color w:val="auto"/>
                <w:kern w:val="2"/>
                <w:sz w:val="21"/>
                <w:szCs w:val="21"/>
                <w:lang w:val="en-US" w:eastAsia="zh-CN" w:bidi="ar-SA"/>
              </w:rPr>
              <w:t>不低于35平方米/床</w:t>
            </w:r>
          </w:p>
        </w:tc>
      </w:tr>
    </w:tbl>
    <w:p>
      <w:pPr>
        <w:ind w:firstLine="440"/>
        <w:jc w:val="right"/>
        <w:rPr>
          <w:rFonts w:ascii="仿宋_GB2312" w:eastAsia="仿宋_GB2312" w:cs="Times New Roman"/>
          <w:color w:val="auto"/>
          <w:sz w:val="22"/>
          <w:szCs w:val="22"/>
        </w:rPr>
      </w:pPr>
      <w:r>
        <w:rPr>
          <w:rFonts w:hint="eastAsia" w:ascii="仿宋_GB2312" w:eastAsia="仿宋_GB2312" w:cs="Times New Roman"/>
          <w:color w:val="auto"/>
          <w:kern w:val="0"/>
          <w:sz w:val="22"/>
          <w:szCs w:val="22"/>
        </w:rPr>
        <w:t>依据</w:t>
      </w:r>
      <w:r>
        <w:rPr>
          <w:rFonts w:hint="eastAsia" w:ascii="仿宋_GB2312" w:eastAsia="仿宋_GB2312" w:cs="Times New Roman"/>
          <w:color w:val="auto"/>
          <w:sz w:val="22"/>
          <w:szCs w:val="22"/>
        </w:rPr>
        <w:t>《北京市居住公共服务设施配置指标》《儿童福利院建设标准》</w:t>
      </w:r>
    </w:p>
    <w:p>
      <w:pPr>
        <w:keepNext/>
        <w:keepLines/>
        <w:widowControl w:val="0"/>
        <w:spacing w:before="156" w:beforeLines="50" w:after="156" w:afterLines="50" w:line="264" w:lineRule="auto"/>
        <w:ind w:firstLine="602" w:firstLineChars="200"/>
        <w:jc w:val="both"/>
        <w:outlineLvl w:val="3"/>
        <w:rPr>
          <w:rFonts w:ascii="仿宋_GB2312" w:hAnsi="仿宋" w:eastAsia="仿宋_GB2312" w:cs="Times New Roman"/>
          <w:b/>
          <w:bCs/>
          <w:color w:val="auto"/>
          <w:kern w:val="2"/>
          <w:sz w:val="30"/>
          <w:szCs w:val="28"/>
          <w:lang w:val="en-US" w:eastAsia="zh-CN" w:bidi="ar-SA"/>
        </w:rPr>
      </w:pPr>
      <w:r>
        <w:rPr>
          <w:rFonts w:hint="eastAsia" w:ascii="仿宋_GB2312" w:hAnsi="仿宋" w:eastAsia="仿宋_GB2312" w:cs="Times New Roman"/>
          <w:b/>
          <w:bCs/>
          <w:color w:val="auto"/>
          <w:kern w:val="2"/>
          <w:sz w:val="30"/>
          <w:szCs w:val="28"/>
          <w:lang w:val="en-US" w:eastAsia="zh-CN" w:bidi="ar-SA"/>
        </w:rPr>
        <w:t>15.3特殊人群比例及总数</w:t>
      </w:r>
      <w:bookmarkEnd w:id="737"/>
      <w:bookmarkEnd w:id="738"/>
      <w:bookmarkEnd w:id="739"/>
      <w:bookmarkEnd w:id="740"/>
      <w:bookmarkEnd w:id="741"/>
      <w:bookmarkEnd w:id="742"/>
    </w:p>
    <w:p>
      <w:pPr>
        <w:ind w:firstLine="602"/>
        <w:rPr>
          <w:rFonts w:ascii="仿宋_GB2312" w:eastAsia="仿宋_GB2312"/>
          <w:color w:val="auto"/>
        </w:rPr>
      </w:pPr>
      <w:r>
        <w:rPr>
          <w:rFonts w:hint="eastAsia" w:ascii="仿宋_GB2312" w:eastAsia="仿宋_GB2312"/>
          <w:b/>
          <w:bCs/>
          <w:color w:val="auto"/>
          <w:kern w:val="0"/>
        </w:rPr>
        <w:t>失能失智老年人</w:t>
      </w:r>
      <w:r>
        <w:rPr>
          <w:rFonts w:hint="eastAsia" w:ascii="仿宋_GB2312" w:eastAsia="仿宋_GB2312"/>
          <w:color w:val="auto"/>
          <w:kern w:val="0"/>
        </w:rPr>
        <w:t>。根据2015年统计显示，我国失能失智老</w:t>
      </w:r>
      <w:r>
        <w:rPr>
          <w:rFonts w:hint="eastAsia" w:ascii="仿宋_GB2312" w:eastAsia="仿宋_GB2312"/>
          <w:color w:val="auto"/>
        </w:rPr>
        <w:t>年人已超过4000万人，其养老及医疗问题直接影响一亿多户家庭。以北京市为例，常住老年人口已达到300万人</w:t>
      </w:r>
      <w:r>
        <w:rPr>
          <w:rFonts w:hint="eastAsia" w:ascii="仿宋_GB2312" w:eastAsia="仿宋_GB2312"/>
          <w:color w:val="auto"/>
          <w:vertAlign w:val="superscript"/>
        </w:rPr>
        <w:endnoteReference w:id="0"/>
      </w:r>
      <w:r>
        <w:rPr>
          <w:rFonts w:hint="eastAsia" w:ascii="仿宋_GB2312" w:eastAsia="仿宋_GB2312"/>
          <w:color w:val="auto"/>
        </w:rPr>
        <w:t>，需要护理照顾的高龄失能失智老年人有60万人左右。北京市需要护理的失能失智老年人占全体老年人的20%，约占总人口的2.7%。依据不同调查方法的结果也不尽相同，如4.78%(2015年全国老龄办</w:t>
      </w:r>
      <w:r>
        <w:rPr>
          <w:rFonts w:hint="eastAsia" w:ascii="仿宋_GB2312" w:eastAsia="仿宋_GB2312"/>
          <w:color w:val="auto"/>
          <w:vertAlign w:val="superscript"/>
        </w:rPr>
        <w:endnoteReference w:id="1"/>
      </w:r>
      <w:r>
        <w:rPr>
          <w:rFonts w:hint="eastAsia" w:ascii="仿宋_GB2312" w:eastAsia="仿宋_GB2312"/>
          <w:color w:val="auto"/>
        </w:rPr>
        <w:t>)、18.3%（2016年全国老龄办、民政部、财政部</w:t>
      </w:r>
      <w:r>
        <w:rPr>
          <w:rFonts w:hint="eastAsia" w:ascii="仿宋_GB2312" w:eastAsia="仿宋_GB2312"/>
          <w:color w:val="auto"/>
          <w:vertAlign w:val="superscript"/>
        </w:rPr>
        <w:endnoteReference w:id="2"/>
      </w:r>
      <w:r>
        <w:rPr>
          <w:rFonts w:hint="eastAsia" w:ascii="仿宋_GB2312" w:eastAsia="仿宋_GB2312"/>
          <w:color w:val="auto"/>
        </w:rPr>
        <w:t>）、6.4%（2006年中国老龄研究中心</w:t>
      </w:r>
      <w:r>
        <w:rPr>
          <w:rFonts w:hint="eastAsia" w:ascii="仿宋_GB2312" w:eastAsia="仿宋_GB2312"/>
          <w:color w:val="auto"/>
          <w:vertAlign w:val="superscript"/>
        </w:rPr>
        <w:endnoteReference w:id="3"/>
      </w:r>
      <w:r>
        <w:rPr>
          <w:rFonts w:hint="eastAsia" w:ascii="仿宋_GB2312" w:eastAsia="仿宋_GB2312"/>
          <w:color w:val="auto"/>
        </w:rPr>
        <w:t>）等不同的结果。造成比例不同的原因主要是由样本年龄、性别构成和城乡分布会造成这一关键指标的上下浮动，特别是在高龄老年人失能状况的评估方面存在较大的波动，而样本规模又成为评估各个年龄组老年人群失能水平的主要限制。本规划采用4.78%的比例计算失能失智老年人总数。区域内失能老年人口的计算方法为：区域内常住老年人口乘以4.78%。街乡镇基本床位数的计算方法为：区域内失能老年人口乘以80%。</w:t>
      </w:r>
    </w:p>
    <w:p>
      <w:pPr>
        <w:ind w:firstLine="602"/>
        <w:rPr>
          <w:rFonts w:ascii="仿宋_GB2312" w:eastAsia="仿宋_GB2312"/>
          <w:color w:val="auto"/>
        </w:rPr>
      </w:pPr>
      <w:r>
        <w:rPr>
          <w:rFonts w:hint="eastAsia" w:ascii="仿宋_GB2312" w:eastAsia="仿宋_GB2312"/>
          <w:b/>
          <w:bCs/>
          <w:color w:val="auto"/>
        </w:rPr>
        <w:t>残疾人。</w:t>
      </w:r>
      <w:r>
        <w:rPr>
          <w:rFonts w:hint="eastAsia" w:ascii="仿宋_GB2312" w:eastAsia="仿宋_GB2312"/>
          <w:color w:val="auto"/>
        </w:rPr>
        <w:t>参考2006年北京市第二次全国残疾人抽样调查，残疾人占北京市总人口的比例为6.49％，60岁及以上残疾人占残疾人总数的比例为61.81％。按照2006年北京市第二次全国残疾人抽样调查结果，结合《总体规划》要求北京市2035年总人口控制在2300万人的基础上，推算出2035年60岁及以上残疾人口约为92万人。</w:t>
      </w:r>
    </w:p>
    <w:p>
      <w:pPr>
        <w:ind w:firstLine="602"/>
        <w:rPr>
          <w:rFonts w:ascii="仿宋_GB2312" w:eastAsia="仿宋_GB2312"/>
          <w:color w:val="auto"/>
        </w:rPr>
      </w:pPr>
      <w:r>
        <w:rPr>
          <w:rFonts w:hint="eastAsia" w:ascii="仿宋_GB2312" w:eastAsia="仿宋_GB2312"/>
          <w:b/>
          <w:bCs/>
          <w:color w:val="auto"/>
        </w:rPr>
        <w:t>困境儿童。</w:t>
      </w:r>
      <w:r>
        <w:rPr>
          <w:rFonts w:hint="eastAsia" w:ascii="仿宋_GB2312" w:eastAsia="仿宋_GB2312"/>
          <w:color w:val="auto"/>
        </w:rPr>
        <w:t>我国各级政府高度重视的问题之一，北京市也大力加强对困境儿童的帮扶力度。据统计，2017年北京市共有困境儿童2.5万人</w:t>
      </w:r>
      <w:r>
        <w:rPr>
          <w:rFonts w:hint="eastAsia" w:ascii="仿宋_GB2312" w:eastAsia="仿宋_GB2312"/>
          <w:color w:val="auto"/>
          <w:vertAlign w:val="superscript"/>
        </w:rPr>
        <w:endnoteReference w:id="4"/>
      </w:r>
      <w:r>
        <w:rPr>
          <w:rFonts w:hint="eastAsia" w:ascii="仿宋_GB2312" w:eastAsia="仿宋_GB2312"/>
          <w:color w:val="auto"/>
        </w:rPr>
        <w:t>，占北京市总人口的0.12%。初步推测，未来随着对困境儿童援助的加强与深入，困境儿童的比例和数量会逐年减少。现将全市困境儿童占总人口的比例定为0.1%。根据《总体规划》要求确定，2035年全市困境儿童总数将维持在2.3万人左右。</w:t>
      </w:r>
      <w:bookmarkStart w:id="748" w:name="_Toc27057_WPSOffice_Level2"/>
      <w:bookmarkStart w:id="749" w:name="_Toc24212_WPSOffice_Level2"/>
      <w:bookmarkStart w:id="750" w:name="_Toc32766_WPSOffice_Level2"/>
      <w:bookmarkStart w:id="751" w:name="_Toc11838601"/>
      <w:bookmarkStart w:id="752" w:name="_Toc26564_WPSOffice_Level2"/>
    </w:p>
    <w:bookmarkEnd w:id="748"/>
    <w:bookmarkEnd w:id="749"/>
    <w:bookmarkEnd w:id="750"/>
    <w:bookmarkEnd w:id="751"/>
    <w:bookmarkEnd w:id="752"/>
    <w:p>
      <w:pPr>
        <w:keepNext/>
        <w:keepLines/>
        <w:widowControl w:val="0"/>
        <w:spacing w:before="156" w:beforeLines="50" w:after="156" w:afterLines="50" w:line="264" w:lineRule="auto"/>
        <w:ind w:firstLine="602" w:firstLineChars="200"/>
        <w:jc w:val="both"/>
        <w:outlineLvl w:val="3"/>
        <w:rPr>
          <w:rFonts w:ascii="仿宋_GB2312" w:hAnsi="仿宋" w:eastAsia="仿宋_GB2312" w:cs="Times New Roman"/>
          <w:b/>
          <w:bCs/>
          <w:color w:val="auto"/>
          <w:kern w:val="2"/>
          <w:sz w:val="30"/>
          <w:szCs w:val="28"/>
          <w:lang w:val="en-US" w:eastAsia="zh-CN" w:bidi="ar-SA"/>
        </w:rPr>
      </w:pPr>
      <w:r>
        <w:rPr>
          <w:rFonts w:hint="eastAsia" w:ascii="仿宋_GB2312" w:hAnsi="仿宋" w:eastAsia="仿宋_GB2312" w:cs="Times New Roman"/>
          <w:b/>
          <w:bCs/>
          <w:color w:val="auto"/>
          <w:kern w:val="2"/>
          <w:sz w:val="30"/>
          <w:szCs w:val="28"/>
          <w:lang w:val="en-US" w:eastAsia="zh-CN" w:bidi="ar-SA"/>
        </w:rPr>
        <w:t>15.4</w:t>
      </w:r>
      <w:bookmarkStart w:id="753" w:name="_Hlk29219554"/>
      <w:r>
        <w:rPr>
          <w:rFonts w:hint="eastAsia" w:ascii="仿宋_GB2312" w:hAnsi="仿宋" w:eastAsia="仿宋_GB2312" w:cs="Times New Roman"/>
          <w:b/>
          <w:bCs/>
          <w:color w:val="auto"/>
          <w:kern w:val="2"/>
          <w:sz w:val="30"/>
          <w:szCs w:val="28"/>
          <w:lang w:val="en-US" w:eastAsia="zh-CN" w:bidi="ar-SA"/>
        </w:rPr>
        <w:t>北京市与日本典型城市养老床位对比</w:t>
      </w:r>
      <w:bookmarkEnd w:id="753"/>
    </w:p>
    <w:p>
      <w:pPr>
        <w:ind w:firstLine="600"/>
        <w:rPr>
          <w:rFonts w:ascii="仿宋_GB2312" w:eastAsia="仿宋_GB2312"/>
          <w:color w:val="auto"/>
        </w:rPr>
      </w:pPr>
      <w:r>
        <w:rPr>
          <w:rFonts w:hint="eastAsia" w:ascii="仿宋_GB2312" w:eastAsia="仿宋_GB2312"/>
          <w:color w:val="auto"/>
        </w:rPr>
        <w:t>将北京与日本典型城市养老床位相比（表43），北京现阶段的相应床位数都比较少，但是除了大阪市的千人床位数比例较高以外，大体上东京和大阪的床位数都在10张左右，百名老年人床位数在4张左右。根据《总体规划》要求，2035年的千名常住人口机构养老床位目标值是9.5张。</w:t>
      </w:r>
    </w:p>
    <w:p>
      <w:pPr>
        <w:ind w:firstLine="600"/>
        <w:rPr>
          <w:rFonts w:ascii="仿宋_GB2312" w:eastAsia="仿宋_GB2312"/>
          <w:color w:val="auto"/>
        </w:rPr>
      </w:pPr>
      <w:r>
        <w:rPr>
          <w:rFonts w:hint="eastAsia" w:ascii="仿宋_GB2312" w:eastAsia="仿宋_GB2312"/>
          <w:color w:val="auto"/>
        </w:rPr>
        <w:t>相对应的东京和大阪20年前的老龄化率与当前北京市是一致的，经过近20年的发展后，北京市未来机构养老床位数水平应该能达到现在东京和大阪的程度，是相对较为符合北京市人口老龄化进程与社会经济发展速度的。</w:t>
      </w:r>
    </w:p>
    <w:p>
      <w:pPr>
        <w:ind w:firstLine="600"/>
        <w:rPr>
          <w:color w:val="auto"/>
        </w:rPr>
      </w:pPr>
      <w:r>
        <w:rPr>
          <w:rFonts w:hint="eastAsia" w:ascii="仿宋_GB2312" w:eastAsia="仿宋_GB2312"/>
          <w:color w:val="auto"/>
        </w:rPr>
        <w:br w:type="page"/>
      </w:r>
    </w:p>
    <w:p>
      <w:pPr>
        <w:widowControl w:val="0"/>
        <w:spacing w:after="156" w:afterLines="50" w:line="300" w:lineRule="auto"/>
        <w:ind w:firstLine="0" w:firstLineChars="0"/>
        <w:jc w:val="center"/>
        <w:rPr>
          <w:rFonts w:ascii="黑体" w:hAnsi="黑体" w:eastAsia="黑体" w:cs="Times New Roman"/>
          <w:color w:val="auto"/>
          <w:kern w:val="2"/>
          <w:sz w:val="30"/>
          <w:szCs w:val="24"/>
          <w:lang w:val="en-US" w:eastAsia="zh-CN" w:bidi="ar-SA"/>
        </w:rPr>
      </w:pPr>
      <w:r>
        <w:rPr>
          <w:rFonts w:ascii="黑体" w:hAnsi="黑体" w:eastAsia="黑体" w:cs="Times New Roman"/>
          <w:color w:val="auto"/>
          <w:kern w:val="2"/>
          <w:sz w:val="30"/>
          <w:szCs w:val="24"/>
          <w:lang w:val="en-US" w:eastAsia="zh-CN" w:bidi="ar-SA"/>
        </w:rPr>
        <w:t>表</w:t>
      </w:r>
      <w:r>
        <w:rPr>
          <w:rFonts w:hint="eastAsia" w:ascii="黑体" w:hAnsi="黑体" w:eastAsia="黑体" w:cs="Times New Roman"/>
          <w:color w:val="auto"/>
          <w:kern w:val="2"/>
          <w:sz w:val="30"/>
          <w:szCs w:val="24"/>
          <w:lang w:val="en-US" w:eastAsia="zh-CN" w:bidi="ar-SA"/>
        </w:rPr>
        <w:t>43北京市与日本典型城市养老床位对比</w:t>
      </w:r>
    </w:p>
    <w:tbl>
      <w:tblPr>
        <w:tblStyle w:val="39"/>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1142"/>
        <w:gridCol w:w="1166"/>
        <w:gridCol w:w="1117"/>
        <w:gridCol w:w="1175"/>
        <w:gridCol w:w="1042"/>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569" w:type="dxa"/>
            <w:vAlign w:val="center"/>
          </w:tcPr>
          <w:p>
            <w:pPr>
              <w:widowControl w:val="0"/>
              <w:spacing w:afterLines="0" w:line="240" w:lineRule="auto"/>
              <w:ind w:firstLine="0" w:firstLineChars="0"/>
              <w:jc w:val="center"/>
              <w:rPr>
                <w:rFonts w:ascii="黑体" w:hAnsi="黑体" w:eastAsia="黑体" w:cs="黑体"/>
                <w:b w:val="0"/>
                <w:bCs w:val="0"/>
                <w:color w:val="auto"/>
                <w:kern w:val="2"/>
                <w:sz w:val="22"/>
                <w:szCs w:val="28"/>
                <w:lang w:val="en-US" w:eastAsia="zh-CN" w:bidi="ar-SA"/>
              </w:rPr>
            </w:pPr>
            <w:r>
              <w:rPr>
                <w:rFonts w:hint="eastAsia" w:ascii="黑体" w:hAnsi="黑体" w:eastAsia="黑体" w:cs="黑体"/>
                <w:b w:val="0"/>
                <w:bCs w:val="0"/>
                <w:color w:val="auto"/>
                <w:kern w:val="2"/>
                <w:sz w:val="22"/>
                <w:szCs w:val="28"/>
                <w:lang w:val="en-US" w:eastAsia="zh-CN" w:bidi="ar-SA"/>
              </w:rPr>
              <w:t>对比项</w:t>
            </w:r>
          </w:p>
        </w:tc>
        <w:tc>
          <w:tcPr>
            <w:tcW w:w="1142" w:type="dxa"/>
            <w:vAlign w:val="center"/>
          </w:tcPr>
          <w:p>
            <w:pPr>
              <w:widowControl w:val="0"/>
              <w:spacing w:afterLines="0" w:line="240" w:lineRule="auto"/>
              <w:ind w:firstLine="0" w:firstLineChars="0"/>
              <w:jc w:val="center"/>
              <w:rPr>
                <w:rFonts w:ascii="黑体" w:hAnsi="黑体" w:eastAsia="黑体" w:cs="黑体"/>
                <w:b w:val="0"/>
                <w:bCs w:val="0"/>
                <w:color w:val="auto"/>
                <w:kern w:val="2"/>
                <w:sz w:val="22"/>
                <w:szCs w:val="28"/>
                <w:lang w:val="en-US" w:eastAsia="zh-CN" w:bidi="ar-SA"/>
              </w:rPr>
            </w:pPr>
            <w:r>
              <w:rPr>
                <w:rFonts w:ascii="黑体" w:hAnsi="黑体" w:eastAsia="黑体" w:cs="黑体"/>
                <w:b w:val="0"/>
                <w:bCs w:val="0"/>
                <w:color w:val="auto"/>
                <w:kern w:val="2"/>
                <w:sz w:val="22"/>
                <w:szCs w:val="28"/>
                <w:lang w:val="en-US" w:eastAsia="zh-CN" w:bidi="ar-SA"/>
              </w:rPr>
              <w:t>北京市</w:t>
            </w:r>
          </w:p>
        </w:tc>
        <w:tc>
          <w:tcPr>
            <w:tcW w:w="1166" w:type="dxa"/>
            <w:vAlign w:val="center"/>
          </w:tcPr>
          <w:p>
            <w:pPr>
              <w:widowControl w:val="0"/>
              <w:spacing w:afterLines="0" w:line="240" w:lineRule="auto"/>
              <w:ind w:firstLine="0" w:firstLineChars="0"/>
              <w:jc w:val="center"/>
              <w:rPr>
                <w:rFonts w:ascii="黑体" w:hAnsi="黑体" w:eastAsia="黑体" w:cs="黑体"/>
                <w:b w:val="0"/>
                <w:bCs w:val="0"/>
                <w:color w:val="auto"/>
                <w:kern w:val="2"/>
                <w:sz w:val="22"/>
                <w:szCs w:val="28"/>
                <w:lang w:val="en-US" w:eastAsia="zh-CN" w:bidi="ar-SA"/>
              </w:rPr>
            </w:pPr>
            <w:r>
              <w:rPr>
                <w:rFonts w:ascii="黑体" w:hAnsi="黑体" w:eastAsia="黑体" w:cs="黑体"/>
                <w:b w:val="0"/>
                <w:bCs w:val="0"/>
                <w:color w:val="auto"/>
                <w:kern w:val="2"/>
                <w:sz w:val="22"/>
                <w:szCs w:val="28"/>
                <w:lang w:val="en-US" w:eastAsia="zh-CN" w:bidi="ar-SA"/>
              </w:rPr>
              <w:t>城六区</w:t>
            </w:r>
          </w:p>
        </w:tc>
        <w:tc>
          <w:tcPr>
            <w:tcW w:w="1117" w:type="dxa"/>
            <w:vAlign w:val="center"/>
          </w:tcPr>
          <w:p>
            <w:pPr>
              <w:widowControl w:val="0"/>
              <w:spacing w:afterLines="0" w:line="240" w:lineRule="auto"/>
              <w:ind w:firstLine="0" w:firstLineChars="0"/>
              <w:jc w:val="center"/>
              <w:rPr>
                <w:rFonts w:ascii="黑体" w:hAnsi="黑体" w:eastAsia="黑体" w:cs="黑体"/>
                <w:b w:val="0"/>
                <w:bCs w:val="0"/>
                <w:color w:val="auto"/>
                <w:kern w:val="2"/>
                <w:sz w:val="22"/>
                <w:szCs w:val="28"/>
                <w:lang w:val="en-US" w:eastAsia="zh-CN" w:bidi="ar-SA"/>
              </w:rPr>
            </w:pPr>
            <w:r>
              <w:rPr>
                <w:rFonts w:ascii="黑体" w:hAnsi="黑体" w:eastAsia="黑体" w:cs="黑体"/>
                <w:b w:val="0"/>
                <w:bCs w:val="0"/>
                <w:color w:val="auto"/>
                <w:kern w:val="2"/>
                <w:sz w:val="22"/>
                <w:szCs w:val="28"/>
                <w:lang w:val="en-US" w:eastAsia="zh-CN" w:bidi="ar-SA"/>
              </w:rPr>
              <w:t>东京都</w:t>
            </w:r>
          </w:p>
        </w:tc>
        <w:tc>
          <w:tcPr>
            <w:tcW w:w="1175" w:type="dxa"/>
            <w:vAlign w:val="center"/>
          </w:tcPr>
          <w:p>
            <w:pPr>
              <w:widowControl w:val="0"/>
              <w:spacing w:afterLines="0" w:line="240" w:lineRule="auto"/>
              <w:ind w:firstLine="0" w:firstLineChars="0"/>
              <w:jc w:val="center"/>
              <w:rPr>
                <w:rFonts w:ascii="黑体" w:hAnsi="黑体" w:eastAsia="黑体" w:cs="黑体"/>
                <w:b w:val="0"/>
                <w:bCs w:val="0"/>
                <w:color w:val="auto"/>
                <w:kern w:val="2"/>
                <w:sz w:val="22"/>
                <w:szCs w:val="28"/>
                <w:lang w:val="en-US" w:eastAsia="zh-CN" w:bidi="ar-SA"/>
              </w:rPr>
            </w:pPr>
            <w:r>
              <w:rPr>
                <w:rFonts w:ascii="黑体" w:hAnsi="黑体" w:eastAsia="黑体" w:cs="黑体"/>
                <w:b w:val="0"/>
                <w:bCs w:val="0"/>
                <w:color w:val="auto"/>
                <w:kern w:val="2"/>
                <w:sz w:val="22"/>
                <w:szCs w:val="28"/>
                <w:lang w:val="en-US" w:eastAsia="zh-CN" w:bidi="ar-SA"/>
              </w:rPr>
              <w:t>都内23区</w:t>
            </w:r>
          </w:p>
        </w:tc>
        <w:tc>
          <w:tcPr>
            <w:tcW w:w="1042" w:type="dxa"/>
            <w:vAlign w:val="center"/>
          </w:tcPr>
          <w:p>
            <w:pPr>
              <w:widowControl w:val="0"/>
              <w:spacing w:afterLines="0" w:line="240" w:lineRule="auto"/>
              <w:ind w:firstLine="0" w:firstLineChars="0"/>
              <w:jc w:val="center"/>
              <w:rPr>
                <w:rFonts w:ascii="黑体" w:hAnsi="黑体" w:eastAsia="黑体" w:cs="黑体"/>
                <w:b w:val="0"/>
                <w:bCs w:val="0"/>
                <w:color w:val="auto"/>
                <w:kern w:val="2"/>
                <w:sz w:val="22"/>
                <w:szCs w:val="28"/>
                <w:lang w:val="en-US" w:eastAsia="zh-CN" w:bidi="ar-SA"/>
              </w:rPr>
            </w:pPr>
            <w:r>
              <w:rPr>
                <w:rFonts w:ascii="黑体" w:hAnsi="黑体" w:eastAsia="黑体" w:cs="黑体"/>
                <w:b w:val="0"/>
                <w:bCs w:val="0"/>
                <w:color w:val="auto"/>
                <w:kern w:val="2"/>
                <w:sz w:val="22"/>
                <w:szCs w:val="28"/>
                <w:lang w:val="en-US" w:eastAsia="zh-CN" w:bidi="ar-SA"/>
              </w:rPr>
              <w:t>大阪府</w:t>
            </w:r>
          </w:p>
        </w:tc>
        <w:tc>
          <w:tcPr>
            <w:tcW w:w="1119" w:type="dxa"/>
            <w:vAlign w:val="center"/>
          </w:tcPr>
          <w:p>
            <w:pPr>
              <w:widowControl w:val="0"/>
              <w:spacing w:afterLines="0" w:line="240" w:lineRule="auto"/>
              <w:ind w:firstLine="0" w:firstLineChars="0"/>
              <w:jc w:val="center"/>
              <w:rPr>
                <w:rFonts w:ascii="黑体" w:hAnsi="黑体" w:eastAsia="黑体" w:cs="黑体"/>
                <w:b w:val="0"/>
                <w:bCs w:val="0"/>
                <w:color w:val="auto"/>
                <w:kern w:val="2"/>
                <w:sz w:val="22"/>
                <w:szCs w:val="28"/>
                <w:lang w:val="en-US" w:eastAsia="zh-CN" w:bidi="ar-SA"/>
              </w:rPr>
            </w:pPr>
            <w:r>
              <w:rPr>
                <w:rFonts w:ascii="黑体" w:hAnsi="黑体" w:eastAsia="黑体" w:cs="黑体"/>
                <w:b w:val="0"/>
                <w:bCs w:val="0"/>
                <w:color w:val="auto"/>
                <w:kern w:val="2"/>
                <w:sz w:val="22"/>
                <w:szCs w:val="28"/>
                <w:lang w:val="en-US" w:eastAsia="zh-CN" w:bidi="ar-SA"/>
              </w:rPr>
              <w:t>大阪市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69" w:type="dxa"/>
            <w:vAlign w:val="center"/>
          </w:tcPr>
          <w:p>
            <w:pPr>
              <w:widowControl w:val="0"/>
              <w:spacing w:afterLines="0" w:line="240" w:lineRule="auto"/>
              <w:ind w:firstLine="0" w:firstLineChars="0"/>
              <w:jc w:val="center"/>
              <w:rPr>
                <w:rFonts w:ascii="仿宋_GB2312" w:hAnsi="黑体" w:eastAsia="仿宋_GB2312" w:cs="黑体"/>
                <w:b w:val="0"/>
                <w:bCs w:val="0"/>
                <w:color w:val="auto"/>
                <w:kern w:val="2"/>
                <w:sz w:val="21"/>
                <w:szCs w:val="24"/>
                <w:lang w:val="en-US" w:eastAsia="zh-CN" w:bidi="ar-SA"/>
              </w:rPr>
            </w:pPr>
            <w:r>
              <w:rPr>
                <w:rFonts w:hint="eastAsia" w:ascii="仿宋_GB2312" w:hAnsi="黑体" w:eastAsia="仿宋_GB2312" w:cs="黑体"/>
                <w:b w:val="0"/>
                <w:bCs w:val="0"/>
                <w:color w:val="auto"/>
                <w:kern w:val="2"/>
                <w:sz w:val="21"/>
                <w:szCs w:val="24"/>
                <w:lang w:val="en-US" w:eastAsia="zh-CN" w:bidi="ar-SA"/>
              </w:rPr>
              <w:t>常住人口数</w:t>
            </w:r>
          </w:p>
        </w:tc>
        <w:tc>
          <w:tcPr>
            <w:tcW w:w="1142"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2171万人</w:t>
            </w:r>
          </w:p>
        </w:tc>
        <w:tc>
          <w:tcPr>
            <w:tcW w:w="1166"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1209万人</w:t>
            </w:r>
          </w:p>
        </w:tc>
        <w:tc>
          <w:tcPr>
            <w:tcW w:w="1117"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1364万人</w:t>
            </w:r>
          </w:p>
        </w:tc>
        <w:tc>
          <w:tcPr>
            <w:tcW w:w="1175"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896万人</w:t>
            </w:r>
          </w:p>
        </w:tc>
        <w:tc>
          <w:tcPr>
            <w:tcW w:w="1042"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883万人</w:t>
            </w:r>
          </w:p>
        </w:tc>
        <w:tc>
          <w:tcPr>
            <w:tcW w:w="1119"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273万人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69" w:type="dxa"/>
            <w:vAlign w:val="center"/>
          </w:tcPr>
          <w:p>
            <w:pPr>
              <w:widowControl w:val="0"/>
              <w:spacing w:afterLines="0" w:line="240" w:lineRule="auto"/>
              <w:ind w:firstLine="0" w:firstLineChars="0"/>
              <w:jc w:val="center"/>
              <w:rPr>
                <w:rFonts w:ascii="仿宋_GB2312" w:hAnsi="黑体" w:eastAsia="仿宋_GB2312" w:cs="黑体"/>
                <w:b w:val="0"/>
                <w:bCs w:val="0"/>
                <w:color w:val="auto"/>
                <w:kern w:val="2"/>
                <w:sz w:val="21"/>
                <w:szCs w:val="24"/>
                <w:lang w:val="en-US" w:eastAsia="zh-CN" w:bidi="ar-SA"/>
              </w:rPr>
            </w:pPr>
            <w:r>
              <w:rPr>
                <w:rFonts w:hint="eastAsia" w:ascii="仿宋_GB2312" w:hAnsi="黑体" w:eastAsia="仿宋_GB2312" w:cs="黑体"/>
                <w:b w:val="0"/>
                <w:bCs w:val="0"/>
                <w:color w:val="auto"/>
                <w:kern w:val="2"/>
                <w:sz w:val="21"/>
                <w:szCs w:val="24"/>
                <w:lang w:val="en-US" w:eastAsia="zh-CN" w:bidi="ar-SA"/>
              </w:rPr>
              <w:t>老龄化率</w:t>
            </w:r>
          </w:p>
        </w:tc>
        <w:tc>
          <w:tcPr>
            <w:tcW w:w="1142"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10.9%</w:t>
            </w:r>
          </w:p>
        </w:tc>
        <w:tc>
          <w:tcPr>
            <w:tcW w:w="1166"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12.1%</w:t>
            </w:r>
          </w:p>
        </w:tc>
        <w:tc>
          <w:tcPr>
            <w:tcW w:w="1117"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23.3%</w:t>
            </w:r>
          </w:p>
        </w:tc>
        <w:tc>
          <w:tcPr>
            <w:tcW w:w="1175"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22.5%</w:t>
            </w:r>
          </w:p>
        </w:tc>
        <w:tc>
          <w:tcPr>
            <w:tcW w:w="1042"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26.8%</w:t>
            </w:r>
          </w:p>
        </w:tc>
        <w:tc>
          <w:tcPr>
            <w:tcW w:w="1119"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69" w:type="dxa"/>
            <w:vAlign w:val="center"/>
          </w:tcPr>
          <w:p>
            <w:pPr>
              <w:widowControl w:val="0"/>
              <w:spacing w:afterLines="0" w:line="240" w:lineRule="auto"/>
              <w:ind w:firstLine="0" w:firstLineChars="0"/>
              <w:jc w:val="center"/>
              <w:rPr>
                <w:rFonts w:ascii="仿宋_GB2312" w:hAnsi="黑体" w:eastAsia="仿宋_GB2312" w:cs="黑体"/>
                <w:b w:val="0"/>
                <w:bCs w:val="0"/>
                <w:color w:val="auto"/>
                <w:kern w:val="2"/>
                <w:sz w:val="21"/>
                <w:szCs w:val="24"/>
                <w:lang w:val="en-US" w:eastAsia="zh-CN" w:bidi="ar-SA"/>
              </w:rPr>
            </w:pPr>
            <w:r>
              <w:rPr>
                <w:rFonts w:hint="eastAsia" w:ascii="仿宋_GB2312" w:hAnsi="黑体" w:eastAsia="仿宋_GB2312" w:cs="黑体"/>
                <w:b w:val="0"/>
                <w:bCs w:val="0"/>
                <w:color w:val="auto"/>
                <w:kern w:val="2"/>
                <w:sz w:val="21"/>
                <w:szCs w:val="24"/>
                <w:lang w:val="en-US" w:eastAsia="zh-CN" w:bidi="ar-SA"/>
              </w:rPr>
              <w:t>养老床位数</w:t>
            </w:r>
          </w:p>
        </w:tc>
        <w:tc>
          <w:tcPr>
            <w:tcW w:w="1142"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1031618</w:t>
            </w:r>
          </w:p>
        </w:tc>
        <w:tc>
          <w:tcPr>
            <w:tcW w:w="1166"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42579</w:t>
            </w:r>
          </w:p>
        </w:tc>
        <w:tc>
          <w:tcPr>
            <w:tcW w:w="1117"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133845</w:t>
            </w:r>
          </w:p>
        </w:tc>
        <w:tc>
          <w:tcPr>
            <w:tcW w:w="1175"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78224</w:t>
            </w:r>
          </w:p>
        </w:tc>
        <w:tc>
          <w:tcPr>
            <w:tcW w:w="1042"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85416</w:t>
            </w:r>
          </w:p>
        </w:tc>
        <w:tc>
          <w:tcPr>
            <w:tcW w:w="1119"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41630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69" w:type="dxa"/>
            <w:vAlign w:val="center"/>
          </w:tcPr>
          <w:p>
            <w:pPr>
              <w:widowControl w:val="0"/>
              <w:spacing w:afterLines="0" w:line="240" w:lineRule="auto"/>
              <w:ind w:firstLine="0" w:firstLineChars="0"/>
              <w:jc w:val="center"/>
              <w:rPr>
                <w:rFonts w:ascii="仿宋_GB2312" w:hAnsi="黑体" w:eastAsia="仿宋_GB2312" w:cs="黑体"/>
                <w:b w:val="0"/>
                <w:bCs w:val="0"/>
                <w:color w:val="auto"/>
                <w:kern w:val="2"/>
                <w:sz w:val="21"/>
                <w:szCs w:val="24"/>
                <w:lang w:val="en-US" w:eastAsia="zh-CN" w:bidi="ar-SA"/>
              </w:rPr>
            </w:pPr>
            <w:r>
              <w:rPr>
                <w:rFonts w:hint="eastAsia" w:ascii="仿宋_GB2312" w:hAnsi="黑体" w:eastAsia="仿宋_GB2312" w:cs="黑体"/>
                <w:b w:val="0"/>
                <w:bCs w:val="0"/>
                <w:color w:val="auto"/>
                <w:kern w:val="2"/>
                <w:sz w:val="21"/>
                <w:szCs w:val="24"/>
                <w:lang w:val="en-US" w:eastAsia="zh-CN" w:bidi="ar-SA"/>
              </w:rPr>
              <w:t>公私机构比例</w:t>
            </w:r>
          </w:p>
        </w:tc>
        <w:tc>
          <w:tcPr>
            <w:tcW w:w="1142"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43:57</w:t>
            </w:r>
          </w:p>
        </w:tc>
        <w:tc>
          <w:tcPr>
            <w:tcW w:w="1166"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31:69</w:t>
            </w:r>
          </w:p>
        </w:tc>
        <w:tc>
          <w:tcPr>
            <w:tcW w:w="1117"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3:97</w:t>
            </w:r>
          </w:p>
        </w:tc>
        <w:tc>
          <w:tcPr>
            <w:tcW w:w="1175"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w:t>
            </w:r>
          </w:p>
        </w:tc>
        <w:tc>
          <w:tcPr>
            <w:tcW w:w="1042"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4:96</w:t>
            </w:r>
          </w:p>
        </w:tc>
        <w:tc>
          <w:tcPr>
            <w:tcW w:w="1119"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69" w:type="dxa"/>
            <w:vAlign w:val="center"/>
          </w:tcPr>
          <w:p>
            <w:pPr>
              <w:widowControl w:val="0"/>
              <w:spacing w:afterLines="0" w:line="300" w:lineRule="exact"/>
              <w:ind w:firstLine="0" w:firstLineChars="0"/>
              <w:jc w:val="center"/>
              <w:rPr>
                <w:rFonts w:ascii="仿宋_GB2312" w:hAnsi="黑体" w:eastAsia="仿宋_GB2312" w:cs="黑体"/>
                <w:b w:val="0"/>
                <w:bCs w:val="0"/>
                <w:color w:val="auto"/>
                <w:kern w:val="2"/>
                <w:sz w:val="21"/>
                <w:szCs w:val="24"/>
                <w:lang w:val="en-US" w:eastAsia="zh-CN" w:bidi="ar-SA"/>
              </w:rPr>
            </w:pPr>
            <w:r>
              <w:rPr>
                <w:rFonts w:hint="eastAsia" w:ascii="仿宋_GB2312" w:hAnsi="黑体" w:eastAsia="仿宋_GB2312" w:cs="黑体"/>
                <w:b w:val="0"/>
                <w:bCs w:val="0"/>
                <w:color w:val="auto"/>
                <w:kern w:val="2"/>
                <w:sz w:val="21"/>
                <w:szCs w:val="24"/>
                <w:lang w:val="en-US" w:eastAsia="zh-CN" w:bidi="ar-SA"/>
              </w:rPr>
              <w:t>千名常住人口机构床位数</w:t>
            </w:r>
          </w:p>
        </w:tc>
        <w:tc>
          <w:tcPr>
            <w:tcW w:w="1142"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4.8</w:t>
            </w:r>
          </w:p>
        </w:tc>
        <w:tc>
          <w:tcPr>
            <w:tcW w:w="1166"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3.5</w:t>
            </w:r>
          </w:p>
        </w:tc>
        <w:tc>
          <w:tcPr>
            <w:tcW w:w="1117"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10.2</w:t>
            </w:r>
          </w:p>
        </w:tc>
        <w:tc>
          <w:tcPr>
            <w:tcW w:w="1175"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8.7</w:t>
            </w:r>
          </w:p>
        </w:tc>
        <w:tc>
          <w:tcPr>
            <w:tcW w:w="1042"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9.7</w:t>
            </w:r>
          </w:p>
        </w:tc>
        <w:tc>
          <w:tcPr>
            <w:tcW w:w="1119"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69" w:type="dxa"/>
            <w:vAlign w:val="center"/>
          </w:tcPr>
          <w:p>
            <w:pPr>
              <w:widowControl w:val="0"/>
              <w:spacing w:afterLines="0" w:line="300" w:lineRule="exact"/>
              <w:ind w:firstLine="0" w:firstLineChars="0"/>
              <w:jc w:val="center"/>
              <w:rPr>
                <w:rFonts w:ascii="仿宋_GB2312" w:hAnsi="黑体" w:eastAsia="仿宋_GB2312" w:cs="黑体"/>
                <w:b w:val="0"/>
                <w:bCs w:val="0"/>
                <w:color w:val="auto"/>
                <w:kern w:val="2"/>
                <w:sz w:val="21"/>
                <w:szCs w:val="24"/>
                <w:lang w:val="en-US" w:eastAsia="zh-CN" w:bidi="ar-SA"/>
              </w:rPr>
            </w:pPr>
            <w:r>
              <w:rPr>
                <w:rFonts w:hint="eastAsia" w:ascii="仿宋_GB2312" w:hAnsi="黑体" w:eastAsia="仿宋_GB2312" w:cs="黑体"/>
                <w:b w:val="0"/>
                <w:bCs w:val="0"/>
                <w:color w:val="auto"/>
                <w:kern w:val="2"/>
                <w:sz w:val="21"/>
                <w:szCs w:val="24"/>
                <w:lang w:val="en-US" w:eastAsia="zh-CN" w:bidi="ar-SA"/>
              </w:rPr>
              <w:t>百名老年人口机构床位数</w:t>
            </w:r>
          </w:p>
        </w:tc>
        <w:tc>
          <w:tcPr>
            <w:tcW w:w="1142"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4.4</w:t>
            </w:r>
          </w:p>
        </w:tc>
        <w:tc>
          <w:tcPr>
            <w:tcW w:w="1166"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2.9</w:t>
            </w:r>
          </w:p>
        </w:tc>
        <w:tc>
          <w:tcPr>
            <w:tcW w:w="1117"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4.4</w:t>
            </w:r>
          </w:p>
        </w:tc>
        <w:tc>
          <w:tcPr>
            <w:tcW w:w="1175"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3.9</w:t>
            </w:r>
          </w:p>
        </w:tc>
        <w:tc>
          <w:tcPr>
            <w:tcW w:w="1042"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3.6</w:t>
            </w:r>
          </w:p>
        </w:tc>
        <w:tc>
          <w:tcPr>
            <w:tcW w:w="1119" w:type="dxa"/>
            <w:vAlign w:val="center"/>
          </w:tcPr>
          <w:p>
            <w:pPr>
              <w:widowControl w:val="0"/>
              <w:spacing w:afterLines="0" w:line="240" w:lineRule="auto"/>
              <w:ind w:firstLine="0" w:firstLineChars="0"/>
              <w:jc w:val="center"/>
              <w:rPr>
                <w:rFonts w:ascii="黑体" w:hAnsi="黑体" w:eastAsia="黑体" w:cs="黑体"/>
                <w:b w:val="0"/>
                <w:bCs w:val="0"/>
                <w:color w:val="auto"/>
                <w:kern w:val="2"/>
                <w:sz w:val="21"/>
                <w:szCs w:val="24"/>
                <w:lang w:val="en-US" w:eastAsia="zh-CN" w:bidi="ar-SA"/>
              </w:rPr>
            </w:pPr>
            <w:r>
              <w:rPr>
                <w:rFonts w:ascii="黑体" w:hAnsi="黑体" w:eastAsia="黑体" w:cs="黑体"/>
                <w:b w:val="0"/>
                <w:bCs w:val="0"/>
                <w:color w:val="auto"/>
                <w:kern w:val="2"/>
                <w:sz w:val="21"/>
                <w:szCs w:val="24"/>
                <w:lang w:val="en-US" w:eastAsia="zh-CN" w:bidi="ar-SA"/>
              </w:rPr>
              <w:t>5.9</w:t>
            </w:r>
          </w:p>
        </w:tc>
      </w:tr>
    </w:tbl>
    <w:p>
      <w:pPr>
        <w:ind w:firstLine="198" w:firstLineChars="66"/>
        <w:rPr>
          <w:color w:val="auto"/>
        </w:rPr>
      </w:pPr>
    </w:p>
    <w:p>
      <w:pPr>
        <w:ind w:firstLine="198" w:firstLineChars="66"/>
        <w:rPr>
          <w:color w:val="auto"/>
        </w:rPr>
      </w:pPr>
    </w:p>
    <w:p>
      <w:pPr>
        <w:ind w:firstLine="198" w:firstLineChars="66"/>
        <w:rPr>
          <w:color w:val="auto"/>
        </w:rPr>
      </w:pPr>
    </w:p>
    <w:p>
      <w:pPr>
        <w:spacing w:line="560" w:lineRule="exact"/>
        <w:ind w:firstLine="198" w:firstLineChars="66"/>
        <w:rPr>
          <w:color w:val="auto"/>
        </w:rPr>
      </w:pPr>
    </w:p>
    <w:sectPr>
      <w:footerReference r:id="rId13" w:type="default"/>
      <w:pgSz w:w="11906" w:h="16838"/>
      <w:pgMar w:top="2098" w:right="1474" w:bottom="1984" w:left="1474" w:header="850" w:footer="850" w:gutter="0"/>
      <w:pgNumType w:start="1"/>
      <w:cols w:space="720" w:num="1"/>
      <w:docGrid w:type="lines" w:linePitch="41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endnote w:id="0">
    <w:p>
      <w:pPr>
        <w:keepNext/>
        <w:keepLines/>
        <w:widowControl w:val="0"/>
        <w:shd w:val="clear" w:color="auto" w:fill="FFFFFF"/>
        <w:spacing w:beforeLines="0" w:afterLines="0" w:line="240" w:lineRule="auto"/>
        <w:ind w:firstLine="360" w:firstLineChars="0"/>
        <w:jc w:val="both"/>
        <w:outlineLvl w:val="2"/>
        <w:rPr>
          <w:rFonts w:ascii="仿宋_GB2312" w:hAnsi="Times New Roman" w:eastAsia="仿宋_GB2312" w:cs="Times New Roman"/>
          <w:b w:val="0"/>
          <w:bCs/>
          <w:kern w:val="2"/>
          <w:sz w:val="16"/>
          <w:szCs w:val="16"/>
          <w:lang w:val="en-US" w:eastAsia="zh-CN" w:bidi="ar-SA"/>
        </w:rPr>
      </w:pPr>
      <w:r>
        <w:rPr>
          <w:rStyle w:val="34"/>
          <w:rFonts w:hint="eastAsia" w:ascii="仿宋_GB2312" w:hAnsi="Times New Roman" w:eastAsia="仿宋_GB2312" w:cs="Times New Roman"/>
          <w:b w:val="0"/>
          <w:bCs/>
          <w:kern w:val="2"/>
          <w:sz w:val="16"/>
          <w:szCs w:val="16"/>
          <w:lang w:val="en-US" w:eastAsia="zh-CN" w:bidi="ar-SA"/>
        </w:rPr>
        <w:endnoteRef/>
      </w:r>
      <w:r>
        <w:rPr>
          <w:rFonts w:hint="eastAsia" w:ascii="仿宋_GB2312" w:hAnsi="Times New Roman" w:eastAsia="仿宋_GB2312" w:cs="Times New Roman"/>
          <w:b w:val="0"/>
          <w:bCs/>
          <w:kern w:val="2"/>
          <w:sz w:val="16"/>
          <w:szCs w:val="16"/>
          <w:lang w:val="en-US" w:eastAsia="zh-CN" w:bidi="ar-SA"/>
        </w:rPr>
        <w:t>「</w:t>
      </w:r>
      <w:r>
        <w:rPr>
          <w:rFonts w:hint="eastAsia" w:ascii="仿宋_GB2312" w:hAnsi="Times New Roman" w:eastAsia="仿宋_GB2312" w:cs="Times New Roman"/>
          <w:b w:val="0"/>
          <w:bCs/>
          <w:kern w:val="36"/>
          <w:sz w:val="16"/>
          <w:szCs w:val="16"/>
          <w:lang w:val="en-US" w:eastAsia="zh-CN" w:bidi="ar-SA"/>
        </w:rPr>
        <w:t>全国失能失智老年人超过4000万</w:t>
      </w:r>
      <w:r>
        <w:rPr>
          <w:rFonts w:hint="eastAsia" w:ascii="Calibri" w:hAnsi="Calibri" w:eastAsia="仿宋_GB2312" w:cs="Calibri"/>
          <w:b w:val="0"/>
          <w:bCs/>
          <w:kern w:val="36"/>
          <w:sz w:val="16"/>
          <w:szCs w:val="16"/>
          <w:lang w:val="en-US" w:eastAsia="zh-CN" w:bidi="ar-SA"/>
        </w:rPr>
        <w:t> </w:t>
      </w:r>
      <w:r>
        <w:rPr>
          <w:rFonts w:hint="eastAsia" w:ascii="仿宋_GB2312" w:hAnsi="Times New Roman" w:eastAsia="仿宋_GB2312" w:cs="Times New Roman"/>
          <w:b w:val="0"/>
          <w:bCs/>
          <w:kern w:val="36"/>
          <w:sz w:val="16"/>
          <w:szCs w:val="16"/>
          <w:lang w:val="en-US" w:eastAsia="zh-CN" w:bidi="ar-SA"/>
        </w:rPr>
        <w:t>北京有60万人左右</w:t>
      </w:r>
      <w:r>
        <w:rPr>
          <w:rFonts w:hint="eastAsia" w:ascii="仿宋_GB2312" w:hAnsi="Times New Roman" w:eastAsia="仿宋_GB2312" w:cs="Times New Roman"/>
          <w:b w:val="0"/>
          <w:bCs/>
          <w:kern w:val="2"/>
          <w:sz w:val="16"/>
          <w:szCs w:val="16"/>
          <w:lang w:val="en-US" w:eastAsia="zh-CN" w:bidi="ar-SA"/>
        </w:rPr>
        <w:t>」，人民网，2015年05月</w:t>
      </w:r>
    </w:p>
  </w:endnote>
  <w:endnote w:id="1">
    <w:p>
      <w:pPr>
        <w:keepNext/>
        <w:keepLines/>
        <w:widowControl w:val="0"/>
        <w:shd w:val="clear" w:color="auto" w:fill="FFFFFF"/>
        <w:spacing w:beforeLines="0" w:afterLines="0" w:line="240" w:lineRule="auto"/>
        <w:ind w:firstLine="360" w:firstLineChars="0"/>
        <w:jc w:val="both"/>
        <w:outlineLvl w:val="2"/>
        <w:rPr>
          <w:rFonts w:ascii="仿宋_GB2312" w:hAnsi="Times New Roman" w:eastAsia="仿宋_GB2312" w:cs="Times New Roman"/>
          <w:b w:val="0"/>
          <w:bCs/>
          <w:kern w:val="2"/>
          <w:sz w:val="16"/>
          <w:szCs w:val="16"/>
          <w:lang w:val="en-US" w:eastAsia="zh-CN" w:bidi="ar-SA"/>
        </w:rPr>
      </w:pPr>
      <w:r>
        <w:rPr>
          <w:rStyle w:val="34"/>
          <w:rFonts w:hint="eastAsia" w:ascii="仿宋_GB2312" w:hAnsi="Times New Roman" w:eastAsia="仿宋_GB2312" w:cs="Times New Roman"/>
          <w:b w:val="0"/>
          <w:bCs/>
          <w:kern w:val="2"/>
          <w:sz w:val="16"/>
          <w:szCs w:val="16"/>
          <w:lang w:val="en-US" w:eastAsia="zh-CN" w:bidi="ar-SA"/>
        </w:rPr>
        <w:endnoteRef/>
      </w:r>
      <w:r>
        <w:rPr>
          <w:rFonts w:hint="eastAsia" w:ascii="仿宋_GB2312" w:hAnsi="Times New Roman" w:eastAsia="仿宋_GB2312" w:cs="Times New Roman"/>
          <w:b w:val="0"/>
          <w:bCs/>
          <w:kern w:val="2"/>
          <w:sz w:val="16"/>
          <w:szCs w:val="16"/>
          <w:lang w:val="en-US" w:eastAsia="zh-CN" w:bidi="ar-SA"/>
        </w:rPr>
        <w:t>「15万京籍高龄失能老年人明年可领补贴」，新京报，2015年7月</w:t>
      </w:r>
    </w:p>
  </w:endnote>
  <w:endnote w:id="2">
    <w:p>
      <w:pPr>
        <w:pStyle w:val="19"/>
        <w:ind w:firstLine="320"/>
        <w:jc w:val="both"/>
        <w:rPr>
          <w:rFonts w:ascii="仿宋_GB2312" w:eastAsia="仿宋_GB2312"/>
          <w:sz w:val="16"/>
          <w:szCs w:val="16"/>
        </w:rPr>
      </w:pPr>
      <w:r>
        <w:rPr>
          <w:rStyle w:val="34"/>
          <w:rFonts w:hint="eastAsia" w:ascii="仿宋_GB2312" w:hAnsi="Times New Roman" w:eastAsia="仿宋_GB2312" w:cs="Times New Roman"/>
          <w:sz w:val="16"/>
          <w:szCs w:val="16"/>
        </w:rPr>
        <w:endnoteRef/>
      </w:r>
      <w:r>
        <w:rPr>
          <w:rFonts w:hint="eastAsia" w:ascii="仿宋_GB2312" w:eastAsia="仿宋_GB2312"/>
          <w:sz w:val="16"/>
          <w:szCs w:val="16"/>
        </w:rPr>
        <w:t>「</w:t>
      </w:r>
      <w:r>
        <w:rPr>
          <w:rFonts w:hint="eastAsia" w:ascii="仿宋_GB2312" w:eastAsia="仿宋_GB2312" w:cs="Helvetica Neue"/>
          <w:sz w:val="16"/>
          <w:szCs w:val="16"/>
        </w:rPr>
        <w:t>第四次中国城乡老年人生活状况抽样调查」</w:t>
      </w:r>
    </w:p>
  </w:endnote>
  <w:endnote w:id="3">
    <w:p>
      <w:pPr>
        <w:pStyle w:val="19"/>
        <w:ind w:firstLine="320"/>
        <w:rPr>
          <w:rFonts w:ascii="仿宋_GB2312" w:eastAsia="仿宋_GB2312"/>
          <w:sz w:val="16"/>
          <w:szCs w:val="16"/>
        </w:rPr>
      </w:pPr>
      <w:r>
        <w:rPr>
          <w:rStyle w:val="34"/>
          <w:rFonts w:hint="eastAsia" w:ascii="仿宋_GB2312" w:hAnsi="Times New Roman" w:eastAsia="仿宋_GB2312" w:cs="Times New Roman"/>
          <w:sz w:val="16"/>
          <w:szCs w:val="16"/>
        </w:rPr>
        <w:endnoteRef/>
      </w:r>
      <w:r>
        <w:rPr>
          <w:rFonts w:hint="eastAsia" w:ascii="仿宋_GB2312" w:eastAsia="仿宋_GB2312"/>
          <w:sz w:val="16"/>
          <w:szCs w:val="16"/>
        </w:rPr>
        <w:t xml:space="preserve"> 景跃军，李元：「中国失能老年人构成及长期护理需求分析」，人口学刊，2014年2月</w:t>
      </w:r>
    </w:p>
  </w:endnote>
  <w:endnote w:id="4">
    <w:p>
      <w:pPr>
        <w:keepNext/>
        <w:keepLines/>
        <w:widowControl w:val="0"/>
        <w:shd w:val="clear" w:color="auto" w:fill="FFFFFF"/>
        <w:spacing w:beforeLines="0" w:afterLines="0" w:line="240" w:lineRule="auto"/>
        <w:ind w:firstLine="360" w:firstLineChars="0"/>
        <w:jc w:val="both"/>
        <w:outlineLvl w:val="2"/>
        <w:rPr>
          <w:rFonts w:ascii="微软雅黑" w:hAnsi="微软雅黑" w:eastAsia="微软雅黑" w:cs="Times New Roman"/>
          <w:b w:val="0"/>
          <w:bCs/>
          <w:color w:val="444444"/>
          <w:kern w:val="2"/>
          <w:sz w:val="18"/>
          <w:szCs w:val="18"/>
          <w:lang w:val="en-US" w:eastAsia="zh-CN" w:bidi="ar-SA"/>
        </w:rPr>
      </w:pPr>
      <w:r>
        <w:rPr>
          <w:rStyle w:val="34"/>
          <w:rFonts w:hint="eastAsia" w:ascii="仿宋_GB2312" w:hAnsi="Times New Roman" w:eastAsia="仿宋_GB2312" w:cs="Times New Roman"/>
          <w:b w:val="0"/>
          <w:bCs/>
          <w:kern w:val="2"/>
          <w:sz w:val="16"/>
          <w:szCs w:val="16"/>
          <w:lang w:val="en-US" w:eastAsia="zh-CN" w:bidi="ar-SA"/>
        </w:rPr>
        <w:endnoteRef/>
      </w:r>
      <w:r>
        <w:rPr>
          <w:rFonts w:hint="eastAsia" w:ascii="仿宋_GB2312" w:hAnsi="Times New Roman" w:eastAsia="仿宋_GB2312" w:cs="Times New Roman"/>
          <w:b w:val="0"/>
          <w:bCs/>
          <w:kern w:val="2"/>
          <w:sz w:val="16"/>
          <w:szCs w:val="16"/>
          <w:lang w:val="en-US" w:eastAsia="zh-CN" w:bidi="ar-SA"/>
        </w:rPr>
        <w:t>「全国首家省级儿童福利和保护处已惠及2.5万困境儿童」，中国青年网</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Yu Mincho">
    <w:altName w:val="MS Mincho"/>
    <w:panose1 w:val="00000000000000000000"/>
    <w:charset w:val="80"/>
    <w:family w:val="auto"/>
    <w:pitch w:val="default"/>
    <w:sig w:usb0="00000000" w:usb1="00000000" w:usb2="00000012" w:usb3="00000000" w:csb0="0002009F" w:csb1="00000000"/>
  </w:font>
  <w:font w:name="Calibri">
    <w:panose1 w:val="020F0502020204030204"/>
    <w:charset w:val="00"/>
    <w:family w:val="auto"/>
    <w:pitch w:val="default"/>
    <w:sig w:usb0="E10002FF" w:usb1="4000ACFF" w:usb2="00000009" w:usb3="00000000" w:csb0="2000019F" w:csb1="00000000"/>
  </w:font>
  <w:font w:name="Helvetica Neue">
    <w:altName w:val="Segoe Print"/>
    <w:panose1 w:val="00000000000000000000"/>
    <w:charset w:val="00"/>
    <w:family w:val="auto"/>
    <w:pitch w:val="default"/>
    <w:sig w:usb0="00000000" w:usb1="00000000" w:usb2="00000010" w:usb3="00000000" w:csb0="00000001" w:csb1="00000000"/>
  </w:font>
  <w:font w:name="微软雅黑">
    <w:panose1 w:val="020B0503020204020204"/>
    <w:charset w:val="86"/>
    <w:family w:val="auto"/>
    <w:pitch w:val="default"/>
    <w:sig w:usb0="80000287" w:usb1="280F3C52" w:usb2="00000016" w:usb3="00000000" w:csb0="0004001F" w:csb1="00000000"/>
  </w:font>
  <w:font w:name="MS Mincho">
    <w:panose1 w:val="02020609040205080304"/>
    <w:charset w:val="0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ind w:firstLine="0" w:firstLineChars="0"/>
      <w:jc w:val="center"/>
    </w:pPr>
    <w:r>
      <w:fldChar w:fldCharType="begin"/>
    </w:r>
    <w:r>
      <w:instrText xml:space="preserve">PAGE   \* MERGEFORMAT</w:instrText>
    </w:r>
    <w:r>
      <w:fldChar w:fldCharType="separate"/>
    </w:r>
    <w:r>
      <w:t>I</w:t>
    </w:r>
    <w:r>
      <w:rPr>
        <w:lang w:val="zh-CN"/>
      </w:rPr>
      <w:fldChar w:fldCharType="end"/>
    </w:r>
  </w:p>
  <w:p>
    <w:pPr>
      <w:pStyle w:val="21"/>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ind w:firstLine="0" w:firstLineChars="0"/>
      <w:jc w:val="center"/>
    </w:pPr>
    <w:r>
      <w:fldChar w:fldCharType="begin"/>
    </w:r>
    <w:r>
      <w:instrText xml:space="preserve">PAGE   \* MERGEFORMAT</w:instrText>
    </w:r>
    <w:r>
      <w:fldChar w:fldCharType="separate"/>
    </w:r>
    <w:r>
      <w:t>I</w:t>
    </w:r>
    <w:r>
      <w:rPr>
        <w:lang w:val="zh-CN"/>
      </w:rPr>
      <w:fldChar w:fldCharType="end"/>
    </w:r>
  </w:p>
  <w:p>
    <w:pPr>
      <w:pStyle w:val="2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footnote w:id="0">
    <w:p>
      <w:pPr>
        <w:pStyle w:val="26"/>
        <w:ind w:firstLine="360"/>
      </w:pPr>
      <w:r>
        <w:rPr>
          <w:rStyle w:val="38"/>
        </w:rPr>
        <w:footnoteRef/>
      </w:r>
      <w:r>
        <w:t xml:space="preserve"> </w:t>
      </w:r>
      <w:r>
        <w:rPr>
          <w:rFonts w:hint="eastAsia"/>
          <w:b/>
          <w:bCs/>
        </w:rPr>
        <w:t>托底保障群体</w:t>
      </w:r>
      <w:r>
        <w:rPr>
          <w:rFonts w:hint="eastAsia"/>
        </w:rPr>
        <w:t>指具有本市户籍的城市特困人员（原城市“三无”人员）和农村特困人员（原农村五保供养对象）等城乡特困老年人。</w:t>
      </w:r>
    </w:p>
    <w:p>
      <w:pPr>
        <w:pStyle w:val="26"/>
        <w:ind w:firstLine="360"/>
      </w:pPr>
    </w:p>
  </w:footnote>
  <w:footnote w:id="1">
    <w:p>
      <w:pPr>
        <w:pStyle w:val="26"/>
        <w:widowControl w:val="0"/>
        <w:wordWrap/>
        <w:adjustRightInd/>
        <w:snapToGrid w:val="0"/>
        <w:spacing w:line="288" w:lineRule="auto"/>
        <w:ind w:left="0" w:leftChars="0" w:right="0" w:firstLine="360" w:firstLineChars="200"/>
        <w:jc w:val="both"/>
        <w:textAlignment w:val="auto"/>
        <w:outlineLvl w:val="9"/>
        <w:rPr>
          <w:rFonts w:hint="eastAsia"/>
          <w:sz w:val="18"/>
          <w:szCs w:val="18"/>
        </w:rPr>
      </w:pPr>
      <w:r>
        <w:rPr>
          <w:rStyle w:val="38"/>
          <w:rFonts w:ascii="Times New Roman" w:hAnsi="Times New Roman" w:eastAsia="宋体" w:cs="Times New Roman"/>
          <w:sz w:val="18"/>
          <w:szCs w:val="18"/>
        </w:rPr>
        <w:footnoteRef/>
      </w:r>
      <w:r>
        <w:rPr>
          <w:sz w:val="18"/>
          <w:szCs w:val="18"/>
        </w:rPr>
        <w:t xml:space="preserve"> </w:t>
      </w:r>
      <w:r>
        <w:rPr>
          <w:rFonts w:hint="eastAsia"/>
          <w:sz w:val="18"/>
          <w:szCs w:val="18"/>
        </w:rPr>
        <w:t>依据北京市《新总规》中控制常住人口规模要求，结合生态涵养区各分区规划人口发展，预测生态涵养区2025年常住总人口为229万，2035年常住总人口为235万</w:t>
      </w:r>
      <w:r>
        <w:rPr>
          <w:rFonts w:hint="eastAsia"/>
          <w:sz w:val="18"/>
          <w:szCs w:val="18"/>
          <w:lang w:eastAsia="zh-CN"/>
        </w:rPr>
        <w:t>，该指标已能满足生态涵养区常住老年人口的长期照护需求。存量床位中剩余部分，应通过推进城郊养老协作体，承接核心区、中心区老年人，并由其户籍所在地的区政府实施“飞地管理”。此外，考虑到生态涵养区存量养老服务机构普遍存在建设年代久远、硬件设施老化的情况，至</w:t>
      </w:r>
      <w:r>
        <w:rPr>
          <w:rFonts w:hint="eastAsia"/>
          <w:sz w:val="18"/>
          <w:szCs w:val="18"/>
          <w:lang w:val="en-US" w:eastAsia="zh-CN"/>
        </w:rPr>
        <w:t>2035年，</w:t>
      </w:r>
      <w:r>
        <w:rPr>
          <w:rFonts w:hint="eastAsia"/>
          <w:sz w:val="18"/>
          <w:szCs w:val="18"/>
          <w:lang w:eastAsia="zh-CN"/>
        </w:rPr>
        <w:t>主要任务是更新改造一批、规范提升一批、典型示范一批，提高区域养老床位的长期照护能力。</w:t>
      </w:r>
    </w:p>
    <w:p>
      <w:pPr>
        <w:pStyle w:val="26"/>
        <w:widowControl w:val="0"/>
        <w:wordWrap/>
        <w:adjustRightInd/>
        <w:snapToGrid w:val="0"/>
        <w:spacing w:line="288" w:lineRule="auto"/>
        <w:ind w:left="0" w:leftChars="0" w:right="0" w:firstLine="360" w:firstLineChars="200"/>
        <w:textAlignment w:val="auto"/>
        <w:outlineLvl w:val="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2"/>
      <w:pBdr>
        <w:bottom w:val="none" w:color="auto" w:sz="0" w:space="0"/>
      </w:pBdr>
      <w:ind w:firstLine="420"/>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2"/>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2"/>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993501834">
    <w:nsid w:val="EE08008A"/>
    <w:multiLevelType w:val="singleLevel"/>
    <w:tmpl w:val="EE08008A"/>
    <w:lvl w:ilvl="0" w:tentative="1">
      <w:start w:val="1"/>
      <w:numFmt w:val="bullet"/>
      <w:pStyle w:val="6"/>
      <w:lvlText w:val=""/>
      <w:lvlJc w:val="left"/>
      <w:pPr>
        <w:ind w:left="420" w:hanging="420"/>
      </w:pPr>
      <w:rPr>
        <w:rFonts w:hint="default" w:ascii="Wingdings" w:hAnsi="Wingdings"/>
      </w:rPr>
    </w:lvl>
  </w:abstractNum>
  <w:num w:numId="1">
    <w:abstractNumId w:val="39935018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0"/>
  <w:drawingGridVerticalSpacing w:val="411"/>
  <w:displayHorizontalDrawingGridEvery w:val="1"/>
  <w:displayVerticalDrawingGridEvery w:val="1"/>
  <w:noPunctuationKerning w:val="1"/>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9273F"/>
    <w:rsid w:val="00000004"/>
    <w:rsid w:val="000017B6"/>
    <w:rsid w:val="00003722"/>
    <w:rsid w:val="00003EFE"/>
    <w:rsid w:val="00004143"/>
    <w:rsid w:val="00006AE0"/>
    <w:rsid w:val="00006FF5"/>
    <w:rsid w:val="00007BDC"/>
    <w:rsid w:val="00012628"/>
    <w:rsid w:val="000152D2"/>
    <w:rsid w:val="00016102"/>
    <w:rsid w:val="00016BAA"/>
    <w:rsid w:val="00016F25"/>
    <w:rsid w:val="00020686"/>
    <w:rsid w:val="000236E9"/>
    <w:rsid w:val="00023C5B"/>
    <w:rsid w:val="00026981"/>
    <w:rsid w:val="000270D4"/>
    <w:rsid w:val="0002759C"/>
    <w:rsid w:val="00031226"/>
    <w:rsid w:val="00031447"/>
    <w:rsid w:val="00031559"/>
    <w:rsid w:val="000327D5"/>
    <w:rsid w:val="00035D51"/>
    <w:rsid w:val="00036399"/>
    <w:rsid w:val="00036888"/>
    <w:rsid w:val="00041DC7"/>
    <w:rsid w:val="00041F17"/>
    <w:rsid w:val="0004480B"/>
    <w:rsid w:val="000465A8"/>
    <w:rsid w:val="00046E31"/>
    <w:rsid w:val="00050826"/>
    <w:rsid w:val="00050E81"/>
    <w:rsid w:val="0005262F"/>
    <w:rsid w:val="00053843"/>
    <w:rsid w:val="00053AB8"/>
    <w:rsid w:val="00054F66"/>
    <w:rsid w:val="00055BF9"/>
    <w:rsid w:val="00056EEE"/>
    <w:rsid w:val="00057413"/>
    <w:rsid w:val="00057C24"/>
    <w:rsid w:val="000611B4"/>
    <w:rsid w:val="00061607"/>
    <w:rsid w:val="00061CA2"/>
    <w:rsid w:val="000649B4"/>
    <w:rsid w:val="000657B1"/>
    <w:rsid w:val="00067507"/>
    <w:rsid w:val="000677A1"/>
    <w:rsid w:val="000730E6"/>
    <w:rsid w:val="00073944"/>
    <w:rsid w:val="00074A18"/>
    <w:rsid w:val="00075C9A"/>
    <w:rsid w:val="00075F39"/>
    <w:rsid w:val="00076E33"/>
    <w:rsid w:val="000842C6"/>
    <w:rsid w:val="00085A18"/>
    <w:rsid w:val="00085AC6"/>
    <w:rsid w:val="00086F2E"/>
    <w:rsid w:val="00087D34"/>
    <w:rsid w:val="0009018B"/>
    <w:rsid w:val="000926E0"/>
    <w:rsid w:val="00092B97"/>
    <w:rsid w:val="00093DD1"/>
    <w:rsid w:val="0009476E"/>
    <w:rsid w:val="00094E4C"/>
    <w:rsid w:val="00094F12"/>
    <w:rsid w:val="00095936"/>
    <w:rsid w:val="000959B5"/>
    <w:rsid w:val="00095A4B"/>
    <w:rsid w:val="00096149"/>
    <w:rsid w:val="00096A5D"/>
    <w:rsid w:val="00097141"/>
    <w:rsid w:val="00097355"/>
    <w:rsid w:val="00097F71"/>
    <w:rsid w:val="000A05AE"/>
    <w:rsid w:val="000A0769"/>
    <w:rsid w:val="000A12E5"/>
    <w:rsid w:val="000A16FF"/>
    <w:rsid w:val="000A2950"/>
    <w:rsid w:val="000A35B7"/>
    <w:rsid w:val="000A606E"/>
    <w:rsid w:val="000A6B2F"/>
    <w:rsid w:val="000B084C"/>
    <w:rsid w:val="000B09F2"/>
    <w:rsid w:val="000B1338"/>
    <w:rsid w:val="000B175C"/>
    <w:rsid w:val="000B4C7B"/>
    <w:rsid w:val="000B4D13"/>
    <w:rsid w:val="000B588D"/>
    <w:rsid w:val="000B5DE4"/>
    <w:rsid w:val="000B7C71"/>
    <w:rsid w:val="000C086C"/>
    <w:rsid w:val="000C1A28"/>
    <w:rsid w:val="000C1EBB"/>
    <w:rsid w:val="000C391D"/>
    <w:rsid w:val="000C43D2"/>
    <w:rsid w:val="000C49C3"/>
    <w:rsid w:val="000D1427"/>
    <w:rsid w:val="000D3C0B"/>
    <w:rsid w:val="000D4169"/>
    <w:rsid w:val="000D789C"/>
    <w:rsid w:val="000E074A"/>
    <w:rsid w:val="000E22D2"/>
    <w:rsid w:val="000E24FF"/>
    <w:rsid w:val="000E25F3"/>
    <w:rsid w:val="000E268C"/>
    <w:rsid w:val="000E3E5F"/>
    <w:rsid w:val="000E3FC2"/>
    <w:rsid w:val="000F063D"/>
    <w:rsid w:val="000F2458"/>
    <w:rsid w:val="000F26D0"/>
    <w:rsid w:val="000F2D35"/>
    <w:rsid w:val="000F6639"/>
    <w:rsid w:val="000F68D7"/>
    <w:rsid w:val="000F7421"/>
    <w:rsid w:val="00100264"/>
    <w:rsid w:val="00100E81"/>
    <w:rsid w:val="00100ED5"/>
    <w:rsid w:val="0010313E"/>
    <w:rsid w:val="0010328C"/>
    <w:rsid w:val="00103C1C"/>
    <w:rsid w:val="00105A4D"/>
    <w:rsid w:val="00107384"/>
    <w:rsid w:val="0011015E"/>
    <w:rsid w:val="001105C0"/>
    <w:rsid w:val="00110D3C"/>
    <w:rsid w:val="00111D5C"/>
    <w:rsid w:val="00112A3A"/>
    <w:rsid w:val="0011318C"/>
    <w:rsid w:val="00114D14"/>
    <w:rsid w:val="00114E1A"/>
    <w:rsid w:val="00115484"/>
    <w:rsid w:val="00115BD6"/>
    <w:rsid w:val="001166D9"/>
    <w:rsid w:val="00116A1F"/>
    <w:rsid w:val="00117C04"/>
    <w:rsid w:val="00117C52"/>
    <w:rsid w:val="00120286"/>
    <w:rsid w:val="0012149C"/>
    <w:rsid w:val="001220B0"/>
    <w:rsid w:val="001229FC"/>
    <w:rsid w:val="00122E18"/>
    <w:rsid w:val="0012326B"/>
    <w:rsid w:val="001257FF"/>
    <w:rsid w:val="00127027"/>
    <w:rsid w:val="00127503"/>
    <w:rsid w:val="00130061"/>
    <w:rsid w:val="001314B8"/>
    <w:rsid w:val="00131E30"/>
    <w:rsid w:val="0013290E"/>
    <w:rsid w:val="00133084"/>
    <w:rsid w:val="001364E5"/>
    <w:rsid w:val="0014051F"/>
    <w:rsid w:val="0014144D"/>
    <w:rsid w:val="001414D7"/>
    <w:rsid w:val="0014172A"/>
    <w:rsid w:val="001420E4"/>
    <w:rsid w:val="001426B4"/>
    <w:rsid w:val="001446D4"/>
    <w:rsid w:val="001453CE"/>
    <w:rsid w:val="00145784"/>
    <w:rsid w:val="00145B98"/>
    <w:rsid w:val="00145CCC"/>
    <w:rsid w:val="00146544"/>
    <w:rsid w:val="00150BC0"/>
    <w:rsid w:val="0015179C"/>
    <w:rsid w:val="00152DE7"/>
    <w:rsid w:val="00155035"/>
    <w:rsid w:val="00155D81"/>
    <w:rsid w:val="001568DB"/>
    <w:rsid w:val="001573E7"/>
    <w:rsid w:val="00160255"/>
    <w:rsid w:val="0016063F"/>
    <w:rsid w:val="00162C2D"/>
    <w:rsid w:val="001635F8"/>
    <w:rsid w:val="001643F7"/>
    <w:rsid w:val="00165125"/>
    <w:rsid w:val="001662F5"/>
    <w:rsid w:val="00167404"/>
    <w:rsid w:val="00167566"/>
    <w:rsid w:val="001703EF"/>
    <w:rsid w:val="00171EB2"/>
    <w:rsid w:val="00171FDB"/>
    <w:rsid w:val="001721BD"/>
    <w:rsid w:val="0017338C"/>
    <w:rsid w:val="001755A8"/>
    <w:rsid w:val="00176417"/>
    <w:rsid w:val="00176ABA"/>
    <w:rsid w:val="00176B57"/>
    <w:rsid w:val="00177AFC"/>
    <w:rsid w:val="00180AEE"/>
    <w:rsid w:val="0018123C"/>
    <w:rsid w:val="00181C5B"/>
    <w:rsid w:val="00181EF8"/>
    <w:rsid w:val="001820A4"/>
    <w:rsid w:val="00182AFE"/>
    <w:rsid w:val="00183200"/>
    <w:rsid w:val="0018325A"/>
    <w:rsid w:val="00183630"/>
    <w:rsid w:val="00185C6E"/>
    <w:rsid w:val="00186C83"/>
    <w:rsid w:val="00187B37"/>
    <w:rsid w:val="00191AD0"/>
    <w:rsid w:val="00191F7A"/>
    <w:rsid w:val="00192565"/>
    <w:rsid w:val="00192BF6"/>
    <w:rsid w:val="00193121"/>
    <w:rsid w:val="0019331F"/>
    <w:rsid w:val="001A0585"/>
    <w:rsid w:val="001A1014"/>
    <w:rsid w:val="001A1272"/>
    <w:rsid w:val="001A2BD2"/>
    <w:rsid w:val="001A2D95"/>
    <w:rsid w:val="001A2DA4"/>
    <w:rsid w:val="001A5566"/>
    <w:rsid w:val="001A5D20"/>
    <w:rsid w:val="001A7C17"/>
    <w:rsid w:val="001B0870"/>
    <w:rsid w:val="001B0B18"/>
    <w:rsid w:val="001B2A98"/>
    <w:rsid w:val="001B32FD"/>
    <w:rsid w:val="001B4FBB"/>
    <w:rsid w:val="001B5575"/>
    <w:rsid w:val="001C1C3E"/>
    <w:rsid w:val="001C1C8C"/>
    <w:rsid w:val="001C29EC"/>
    <w:rsid w:val="001C3D9C"/>
    <w:rsid w:val="001C61A2"/>
    <w:rsid w:val="001C63D8"/>
    <w:rsid w:val="001C6468"/>
    <w:rsid w:val="001C6C7F"/>
    <w:rsid w:val="001D0A62"/>
    <w:rsid w:val="001D2287"/>
    <w:rsid w:val="001D28C5"/>
    <w:rsid w:val="001D3B64"/>
    <w:rsid w:val="001D3E42"/>
    <w:rsid w:val="001D4366"/>
    <w:rsid w:val="001D711D"/>
    <w:rsid w:val="001D732E"/>
    <w:rsid w:val="001D7431"/>
    <w:rsid w:val="001D787C"/>
    <w:rsid w:val="001D7F7A"/>
    <w:rsid w:val="001D7FF5"/>
    <w:rsid w:val="001E07E9"/>
    <w:rsid w:val="001E12FC"/>
    <w:rsid w:val="001E1911"/>
    <w:rsid w:val="001E25A8"/>
    <w:rsid w:val="001E303B"/>
    <w:rsid w:val="001E469D"/>
    <w:rsid w:val="001E46C1"/>
    <w:rsid w:val="001E70C6"/>
    <w:rsid w:val="001E7667"/>
    <w:rsid w:val="001E7CD4"/>
    <w:rsid w:val="001F0FCF"/>
    <w:rsid w:val="001F115D"/>
    <w:rsid w:val="001F1398"/>
    <w:rsid w:val="001F162D"/>
    <w:rsid w:val="001F1E1D"/>
    <w:rsid w:val="001F20FA"/>
    <w:rsid w:val="001F2C22"/>
    <w:rsid w:val="001F6688"/>
    <w:rsid w:val="001F66F6"/>
    <w:rsid w:val="001F6D85"/>
    <w:rsid w:val="0020041F"/>
    <w:rsid w:val="00203471"/>
    <w:rsid w:val="002060A4"/>
    <w:rsid w:val="00207AF8"/>
    <w:rsid w:val="00210A5B"/>
    <w:rsid w:val="00210AC5"/>
    <w:rsid w:val="00211AED"/>
    <w:rsid w:val="002138A6"/>
    <w:rsid w:val="00213BFF"/>
    <w:rsid w:val="00213F68"/>
    <w:rsid w:val="0021421E"/>
    <w:rsid w:val="002150E1"/>
    <w:rsid w:val="002152EB"/>
    <w:rsid w:val="002171FA"/>
    <w:rsid w:val="0022198E"/>
    <w:rsid w:val="002234CF"/>
    <w:rsid w:val="002235D3"/>
    <w:rsid w:val="002240FD"/>
    <w:rsid w:val="00226361"/>
    <w:rsid w:val="002264E1"/>
    <w:rsid w:val="00227621"/>
    <w:rsid w:val="002308F0"/>
    <w:rsid w:val="00230961"/>
    <w:rsid w:val="00230EFE"/>
    <w:rsid w:val="00232FD8"/>
    <w:rsid w:val="00233C48"/>
    <w:rsid w:val="002347FE"/>
    <w:rsid w:val="002348F8"/>
    <w:rsid w:val="00236326"/>
    <w:rsid w:val="00236A43"/>
    <w:rsid w:val="00237304"/>
    <w:rsid w:val="002425E8"/>
    <w:rsid w:val="00242C2A"/>
    <w:rsid w:val="00243F5B"/>
    <w:rsid w:val="00244671"/>
    <w:rsid w:val="00245EC3"/>
    <w:rsid w:val="00247EDF"/>
    <w:rsid w:val="00250623"/>
    <w:rsid w:val="00252210"/>
    <w:rsid w:val="00253903"/>
    <w:rsid w:val="00254FC8"/>
    <w:rsid w:val="00255E8A"/>
    <w:rsid w:val="002560A4"/>
    <w:rsid w:val="00257674"/>
    <w:rsid w:val="002576BA"/>
    <w:rsid w:val="0025784C"/>
    <w:rsid w:val="00257BA8"/>
    <w:rsid w:val="00260695"/>
    <w:rsid w:val="00261F2D"/>
    <w:rsid w:val="00262D67"/>
    <w:rsid w:val="00262D86"/>
    <w:rsid w:val="00263120"/>
    <w:rsid w:val="0026509D"/>
    <w:rsid w:val="00266F46"/>
    <w:rsid w:val="0026774C"/>
    <w:rsid w:val="002700BB"/>
    <w:rsid w:val="00271122"/>
    <w:rsid w:val="002713EB"/>
    <w:rsid w:val="0027290A"/>
    <w:rsid w:val="00272FA3"/>
    <w:rsid w:val="00274030"/>
    <w:rsid w:val="0027416B"/>
    <w:rsid w:val="00274406"/>
    <w:rsid w:val="00276C92"/>
    <w:rsid w:val="0027725C"/>
    <w:rsid w:val="00277521"/>
    <w:rsid w:val="00277D88"/>
    <w:rsid w:val="00277FE1"/>
    <w:rsid w:val="0028139A"/>
    <w:rsid w:val="00281C89"/>
    <w:rsid w:val="002829C0"/>
    <w:rsid w:val="00282E74"/>
    <w:rsid w:val="0028306A"/>
    <w:rsid w:val="00284835"/>
    <w:rsid w:val="00287FD3"/>
    <w:rsid w:val="00292171"/>
    <w:rsid w:val="002924D0"/>
    <w:rsid w:val="002934EA"/>
    <w:rsid w:val="00295DA9"/>
    <w:rsid w:val="002964A1"/>
    <w:rsid w:val="00296C2E"/>
    <w:rsid w:val="002A0E60"/>
    <w:rsid w:val="002A32DE"/>
    <w:rsid w:val="002A4C9C"/>
    <w:rsid w:val="002A503D"/>
    <w:rsid w:val="002A6787"/>
    <w:rsid w:val="002A7ECA"/>
    <w:rsid w:val="002B05B2"/>
    <w:rsid w:val="002B1C1C"/>
    <w:rsid w:val="002B3910"/>
    <w:rsid w:val="002B3CFC"/>
    <w:rsid w:val="002B42A1"/>
    <w:rsid w:val="002B4724"/>
    <w:rsid w:val="002B4F8B"/>
    <w:rsid w:val="002B5B5B"/>
    <w:rsid w:val="002B5E99"/>
    <w:rsid w:val="002B6943"/>
    <w:rsid w:val="002C0FF3"/>
    <w:rsid w:val="002C1D39"/>
    <w:rsid w:val="002C3A76"/>
    <w:rsid w:val="002C4055"/>
    <w:rsid w:val="002C48B3"/>
    <w:rsid w:val="002C600B"/>
    <w:rsid w:val="002C7225"/>
    <w:rsid w:val="002C7913"/>
    <w:rsid w:val="002D075E"/>
    <w:rsid w:val="002D0E7C"/>
    <w:rsid w:val="002D15FA"/>
    <w:rsid w:val="002D1668"/>
    <w:rsid w:val="002D27E3"/>
    <w:rsid w:val="002D29F8"/>
    <w:rsid w:val="002D2C0A"/>
    <w:rsid w:val="002D401A"/>
    <w:rsid w:val="002D4120"/>
    <w:rsid w:val="002D4CDD"/>
    <w:rsid w:val="002D5449"/>
    <w:rsid w:val="002D58E9"/>
    <w:rsid w:val="002D68EC"/>
    <w:rsid w:val="002D73B7"/>
    <w:rsid w:val="002E04C9"/>
    <w:rsid w:val="002E0766"/>
    <w:rsid w:val="002E120D"/>
    <w:rsid w:val="002E13E1"/>
    <w:rsid w:val="002E2444"/>
    <w:rsid w:val="002E2B14"/>
    <w:rsid w:val="002E3505"/>
    <w:rsid w:val="002E364C"/>
    <w:rsid w:val="002E3AAF"/>
    <w:rsid w:val="002E544C"/>
    <w:rsid w:val="002E6958"/>
    <w:rsid w:val="002E77C7"/>
    <w:rsid w:val="002F10F8"/>
    <w:rsid w:val="002F2028"/>
    <w:rsid w:val="002F249A"/>
    <w:rsid w:val="002F27CC"/>
    <w:rsid w:val="002F3046"/>
    <w:rsid w:val="002F3A5F"/>
    <w:rsid w:val="002F5185"/>
    <w:rsid w:val="002F648D"/>
    <w:rsid w:val="002F7020"/>
    <w:rsid w:val="002F7041"/>
    <w:rsid w:val="002F705A"/>
    <w:rsid w:val="0030283D"/>
    <w:rsid w:val="003033A5"/>
    <w:rsid w:val="0030352B"/>
    <w:rsid w:val="00303A82"/>
    <w:rsid w:val="00304F56"/>
    <w:rsid w:val="0030624B"/>
    <w:rsid w:val="0030634B"/>
    <w:rsid w:val="003124E6"/>
    <w:rsid w:val="00315BD4"/>
    <w:rsid w:val="00315BFA"/>
    <w:rsid w:val="003164BD"/>
    <w:rsid w:val="00320144"/>
    <w:rsid w:val="0032050D"/>
    <w:rsid w:val="003229BB"/>
    <w:rsid w:val="0032461A"/>
    <w:rsid w:val="003259A6"/>
    <w:rsid w:val="0032631A"/>
    <w:rsid w:val="00326458"/>
    <w:rsid w:val="00327636"/>
    <w:rsid w:val="00327E56"/>
    <w:rsid w:val="003304BE"/>
    <w:rsid w:val="00331959"/>
    <w:rsid w:val="00331D75"/>
    <w:rsid w:val="00335DD7"/>
    <w:rsid w:val="003362BC"/>
    <w:rsid w:val="003372BF"/>
    <w:rsid w:val="00337858"/>
    <w:rsid w:val="00337B0C"/>
    <w:rsid w:val="003404B4"/>
    <w:rsid w:val="00340759"/>
    <w:rsid w:val="00341A71"/>
    <w:rsid w:val="0034452C"/>
    <w:rsid w:val="0034583F"/>
    <w:rsid w:val="00345B13"/>
    <w:rsid w:val="003471DE"/>
    <w:rsid w:val="00347C84"/>
    <w:rsid w:val="003504A8"/>
    <w:rsid w:val="0035153B"/>
    <w:rsid w:val="00353979"/>
    <w:rsid w:val="0035420B"/>
    <w:rsid w:val="00354336"/>
    <w:rsid w:val="00354444"/>
    <w:rsid w:val="00355169"/>
    <w:rsid w:val="003555F2"/>
    <w:rsid w:val="00355695"/>
    <w:rsid w:val="00357A2B"/>
    <w:rsid w:val="0036229A"/>
    <w:rsid w:val="00362694"/>
    <w:rsid w:val="0036438A"/>
    <w:rsid w:val="00365AFB"/>
    <w:rsid w:val="0036689A"/>
    <w:rsid w:val="0036753A"/>
    <w:rsid w:val="00372C33"/>
    <w:rsid w:val="00374837"/>
    <w:rsid w:val="00374B99"/>
    <w:rsid w:val="00375362"/>
    <w:rsid w:val="00376E10"/>
    <w:rsid w:val="0038077E"/>
    <w:rsid w:val="00381D50"/>
    <w:rsid w:val="00384295"/>
    <w:rsid w:val="003855FE"/>
    <w:rsid w:val="003864E2"/>
    <w:rsid w:val="00386FC6"/>
    <w:rsid w:val="00387B85"/>
    <w:rsid w:val="0039151E"/>
    <w:rsid w:val="00392EA8"/>
    <w:rsid w:val="00392FC1"/>
    <w:rsid w:val="00393700"/>
    <w:rsid w:val="00393C35"/>
    <w:rsid w:val="003942DB"/>
    <w:rsid w:val="0039466F"/>
    <w:rsid w:val="003964F6"/>
    <w:rsid w:val="00396CA9"/>
    <w:rsid w:val="0039755E"/>
    <w:rsid w:val="00397886"/>
    <w:rsid w:val="003A06E5"/>
    <w:rsid w:val="003A0B99"/>
    <w:rsid w:val="003A1C5C"/>
    <w:rsid w:val="003A1ED4"/>
    <w:rsid w:val="003A21FC"/>
    <w:rsid w:val="003A2A99"/>
    <w:rsid w:val="003A64B4"/>
    <w:rsid w:val="003A6730"/>
    <w:rsid w:val="003B07DC"/>
    <w:rsid w:val="003B0AFF"/>
    <w:rsid w:val="003B0C92"/>
    <w:rsid w:val="003B0E64"/>
    <w:rsid w:val="003B3208"/>
    <w:rsid w:val="003B3DD0"/>
    <w:rsid w:val="003B4376"/>
    <w:rsid w:val="003B585C"/>
    <w:rsid w:val="003B5BBD"/>
    <w:rsid w:val="003B60B8"/>
    <w:rsid w:val="003C02A6"/>
    <w:rsid w:val="003C0A1B"/>
    <w:rsid w:val="003C150A"/>
    <w:rsid w:val="003C1E10"/>
    <w:rsid w:val="003C1FFA"/>
    <w:rsid w:val="003C2635"/>
    <w:rsid w:val="003C2C2A"/>
    <w:rsid w:val="003C349A"/>
    <w:rsid w:val="003C34AF"/>
    <w:rsid w:val="003C49C0"/>
    <w:rsid w:val="003C623F"/>
    <w:rsid w:val="003C751C"/>
    <w:rsid w:val="003C7629"/>
    <w:rsid w:val="003C7F02"/>
    <w:rsid w:val="003D34B2"/>
    <w:rsid w:val="003D43A2"/>
    <w:rsid w:val="003D6B6C"/>
    <w:rsid w:val="003D7352"/>
    <w:rsid w:val="003E0478"/>
    <w:rsid w:val="003E06C4"/>
    <w:rsid w:val="003E2265"/>
    <w:rsid w:val="003E255A"/>
    <w:rsid w:val="003F025B"/>
    <w:rsid w:val="003F1358"/>
    <w:rsid w:val="003F1D8C"/>
    <w:rsid w:val="003F2779"/>
    <w:rsid w:val="003F27CE"/>
    <w:rsid w:val="003F2C04"/>
    <w:rsid w:val="003F3329"/>
    <w:rsid w:val="003F3634"/>
    <w:rsid w:val="003F4040"/>
    <w:rsid w:val="003F5D71"/>
    <w:rsid w:val="00400050"/>
    <w:rsid w:val="004003DB"/>
    <w:rsid w:val="00400569"/>
    <w:rsid w:val="00402168"/>
    <w:rsid w:val="004029EA"/>
    <w:rsid w:val="0040386B"/>
    <w:rsid w:val="00403F62"/>
    <w:rsid w:val="00404484"/>
    <w:rsid w:val="004051B8"/>
    <w:rsid w:val="0040559F"/>
    <w:rsid w:val="0040661E"/>
    <w:rsid w:val="0040699A"/>
    <w:rsid w:val="00407FE0"/>
    <w:rsid w:val="00410713"/>
    <w:rsid w:val="0041083F"/>
    <w:rsid w:val="0041197C"/>
    <w:rsid w:val="00411993"/>
    <w:rsid w:val="00411B26"/>
    <w:rsid w:val="00413E03"/>
    <w:rsid w:val="00414596"/>
    <w:rsid w:val="0041589B"/>
    <w:rsid w:val="00420F57"/>
    <w:rsid w:val="004210E7"/>
    <w:rsid w:val="00421A34"/>
    <w:rsid w:val="0042244B"/>
    <w:rsid w:val="00422D77"/>
    <w:rsid w:val="0042473A"/>
    <w:rsid w:val="004249BF"/>
    <w:rsid w:val="00424AF0"/>
    <w:rsid w:val="00425561"/>
    <w:rsid w:val="00425D49"/>
    <w:rsid w:val="004260C1"/>
    <w:rsid w:val="0042668C"/>
    <w:rsid w:val="00426A0D"/>
    <w:rsid w:val="00427363"/>
    <w:rsid w:val="00427897"/>
    <w:rsid w:val="00430837"/>
    <w:rsid w:val="00431172"/>
    <w:rsid w:val="004328FA"/>
    <w:rsid w:val="00433EB6"/>
    <w:rsid w:val="00434EAB"/>
    <w:rsid w:val="00435359"/>
    <w:rsid w:val="00445DDC"/>
    <w:rsid w:val="00447091"/>
    <w:rsid w:val="004470AB"/>
    <w:rsid w:val="00450C94"/>
    <w:rsid w:val="00451414"/>
    <w:rsid w:val="00451993"/>
    <w:rsid w:val="0045219C"/>
    <w:rsid w:val="00452CAB"/>
    <w:rsid w:val="004535E1"/>
    <w:rsid w:val="00453A20"/>
    <w:rsid w:val="00453CD2"/>
    <w:rsid w:val="00455029"/>
    <w:rsid w:val="004569FE"/>
    <w:rsid w:val="00457001"/>
    <w:rsid w:val="00457F77"/>
    <w:rsid w:val="00461232"/>
    <w:rsid w:val="00461696"/>
    <w:rsid w:val="004618C1"/>
    <w:rsid w:val="004648FC"/>
    <w:rsid w:val="004667D1"/>
    <w:rsid w:val="004671E9"/>
    <w:rsid w:val="00467229"/>
    <w:rsid w:val="004679FA"/>
    <w:rsid w:val="00470FD6"/>
    <w:rsid w:val="00471394"/>
    <w:rsid w:val="00471CD0"/>
    <w:rsid w:val="00473766"/>
    <w:rsid w:val="00473B11"/>
    <w:rsid w:val="004768D6"/>
    <w:rsid w:val="004775C7"/>
    <w:rsid w:val="00477BCD"/>
    <w:rsid w:val="00477FA9"/>
    <w:rsid w:val="00480E4B"/>
    <w:rsid w:val="00482471"/>
    <w:rsid w:val="0048267C"/>
    <w:rsid w:val="00483292"/>
    <w:rsid w:val="00487389"/>
    <w:rsid w:val="00487396"/>
    <w:rsid w:val="00487642"/>
    <w:rsid w:val="00487FC1"/>
    <w:rsid w:val="0049042D"/>
    <w:rsid w:val="0049273F"/>
    <w:rsid w:val="00496896"/>
    <w:rsid w:val="0049708F"/>
    <w:rsid w:val="00497F15"/>
    <w:rsid w:val="004A0D24"/>
    <w:rsid w:val="004A1477"/>
    <w:rsid w:val="004A14A2"/>
    <w:rsid w:val="004A1FCA"/>
    <w:rsid w:val="004A27AD"/>
    <w:rsid w:val="004A3851"/>
    <w:rsid w:val="004A3ADC"/>
    <w:rsid w:val="004A5055"/>
    <w:rsid w:val="004A5EA9"/>
    <w:rsid w:val="004A743D"/>
    <w:rsid w:val="004B0937"/>
    <w:rsid w:val="004B1C33"/>
    <w:rsid w:val="004B1C43"/>
    <w:rsid w:val="004B1C5C"/>
    <w:rsid w:val="004B1D5D"/>
    <w:rsid w:val="004B2904"/>
    <w:rsid w:val="004B352E"/>
    <w:rsid w:val="004B3831"/>
    <w:rsid w:val="004B3BD5"/>
    <w:rsid w:val="004B4301"/>
    <w:rsid w:val="004B465E"/>
    <w:rsid w:val="004B4943"/>
    <w:rsid w:val="004B4B04"/>
    <w:rsid w:val="004B5A04"/>
    <w:rsid w:val="004B5A4F"/>
    <w:rsid w:val="004B7154"/>
    <w:rsid w:val="004C1BFA"/>
    <w:rsid w:val="004C202E"/>
    <w:rsid w:val="004C6237"/>
    <w:rsid w:val="004C7F16"/>
    <w:rsid w:val="004D0178"/>
    <w:rsid w:val="004D0EE2"/>
    <w:rsid w:val="004D14A3"/>
    <w:rsid w:val="004D1CFE"/>
    <w:rsid w:val="004D37E8"/>
    <w:rsid w:val="004D4758"/>
    <w:rsid w:val="004D52D8"/>
    <w:rsid w:val="004D6E58"/>
    <w:rsid w:val="004D7291"/>
    <w:rsid w:val="004E0D19"/>
    <w:rsid w:val="004E1882"/>
    <w:rsid w:val="004E1AB6"/>
    <w:rsid w:val="004E1F01"/>
    <w:rsid w:val="004E2DD8"/>
    <w:rsid w:val="004E39E4"/>
    <w:rsid w:val="004E44E1"/>
    <w:rsid w:val="004E7457"/>
    <w:rsid w:val="004F0FA0"/>
    <w:rsid w:val="004F2732"/>
    <w:rsid w:val="004F39F4"/>
    <w:rsid w:val="004F4DAF"/>
    <w:rsid w:val="005003B1"/>
    <w:rsid w:val="00500E1C"/>
    <w:rsid w:val="00502265"/>
    <w:rsid w:val="005030A5"/>
    <w:rsid w:val="00503C86"/>
    <w:rsid w:val="00504D5B"/>
    <w:rsid w:val="00505455"/>
    <w:rsid w:val="0050588D"/>
    <w:rsid w:val="00505A86"/>
    <w:rsid w:val="005065E3"/>
    <w:rsid w:val="005077B2"/>
    <w:rsid w:val="0051055E"/>
    <w:rsid w:val="00512932"/>
    <w:rsid w:val="00512CE6"/>
    <w:rsid w:val="00512D7B"/>
    <w:rsid w:val="00512FEC"/>
    <w:rsid w:val="00513C5E"/>
    <w:rsid w:val="00514157"/>
    <w:rsid w:val="00517549"/>
    <w:rsid w:val="0052110E"/>
    <w:rsid w:val="0052152F"/>
    <w:rsid w:val="00522C34"/>
    <w:rsid w:val="005239AC"/>
    <w:rsid w:val="005241FD"/>
    <w:rsid w:val="00526668"/>
    <w:rsid w:val="00527017"/>
    <w:rsid w:val="00530061"/>
    <w:rsid w:val="005301AF"/>
    <w:rsid w:val="00530727"/>
    <w:rsid w:val="00530CA5"/>
    <w:rsid w:val="0053185A"/>
    <w:rsid w:val="00532AF5"/>
    <w:rsid w:val="00533AF8"/>
    <w:rsid w:val="00533B30"/>
    <w:rsid w:val="00534E62"/>
    <w:rsid w:val="005359C2"/>
    <w:rsid w:val="00536083"/>
    <w:rsid w:val="005363D8"/>
    <w:rsid w:val="0053722E"/>
    <w:rsid w:val="00540569"/>
    <w:rsid w:val="005416A6"/>
    <w:rsid w:val="00542382"/>
    <w:rsid w:val="005423EE"/>
    <w:rsid w:val="00542D84"/>
    <w:rsid w:val="00543341"/>
    <w:rsid w:val="00544F41"/>
    <w:rsid w:val="00545825"/>
    <w:rsid w:val="00546B8F"/>
    <w:rsid w:val="00547817"/>
    <w:rsid w:val="00550F9B"/>
    <w:rsid w:val="00552022"/>
    <w:rsid w:val="00552D08"/>
    <w:rsid w:val="005543A4"/>
    <w:rsid w:val="00554A6D"/>
    <w:rsid w:val="00555919"/>
    <w:rsid w:val="00555E65"/>
    <w:rsid w:val="00555FE6"/>
    <w:rsid w:val="0055616B"/>
    <w:rsid w:val="005571ED"/>
    <w:rsid w:val="00557B6A"/>
    <w:rsid w:val="005602A4"/>
    <w:rsid w:val="00561343"/>
    <w:rsid w:val="00564E87"/>
    <w:rsid w:val="00565E56"/>
    <w:rsid w:val="00566623"/>
    <w:rsid w:val="00567EAE"/>
    <w:rsid w:val="00570F33"/>
    <w:rsid w:val="0057108C"/>
    <w:rsid w:val="00572BC8"/>
    <w:rsid w:val="00575773"/>
    <w:rsid w:val="00576436"/>
    <w:rsid w:val="005766FA"/>
    <w:rsid w:val="00577265"/>
    <w:rsid w:val="0058153B"/>
    <w:rsid w:val="00581785"/>
    <w:rsid w:val="005826C1"/>
    <w:rsid w:val="00583742"/>
    <w:rsid w:val="00583D27"/>
    <w:rsid w:val="00583FC3"/>
    <w:rsid w:val="00584EC4"/>
    <w:rsid w:val="00584F53"/>
    <w:rsid w:val="00585103"/>
    <w:rsid w:val="005872DE"/>
    <w:rsid w:val="00587AAA"/>
    <w:rsid w:val="0059128B"/>
    <w:rsid w:val="005917AC"/>
    <w:rsid w:val="00591BA1"/>
    <w:rsid w:val="00591ED4"/>
    <w:rsid w:val="00593659"/>
    <w:rsid w:val="005937A3"/>
    <w:rsid w:val="00593DCC"/>
    <w:rsid w:val="00597284"/>
    <w:rsid w:val="005972FD"/>
    <w:rsid w:val="0059741C"/>
    <w:rsid w:val="00597B18"/>
    <w:rsid w:val="005A012F"/>
    <w:rsid w:val="005A1750"/>
    <w:rsid w:val="005A240F"/>
    <w:rsid w:val="005A2CFF"/>
    <w:rsid w:val="005A40FF"/>
    <w:rsid w:val="005A4EB0"/>
    <w:rsid w:val="005A59EA"/>
    <w:rsid w:val="005A619E"/>
    <w:rsid w:val="005A6226"/>
    <w:rsid w:val="005A6A79"/>
    <w:rsid w:val="005A7DD9"/>
    <w:rsid w:val="005B0706"/>
    <w:rsid w:val="005B0722"/>
    <w:rsid w:val="005B15E1"/>
    <w:rsid w:val="005B1B55"/>
    <w:rsid w:val="005B1F09"/>
    <w:rsid w:val="005B2978"/>
    <w:rsid w:val="005B7CA8"/>
    <w:rsid w:val="005C0167"/>
    <w:rsid w:val="005C1F86"/>
    <w:rsid w:val="005C279B"/>
    <w:rsid w:val="005C2FCD"/>
    <w:rsid w:val="005C3748"/>
    <w:rsid w:val="005C7977"/>
    <w:rsid w:val="005D05CF"/>
    <w:rsid w:val="005D3A6B"/>
    <w:rsid w:val="005D430A"/>
    <w:rsid w:val="005D62A6"/>
    <w:rsid w:val="005D6C7F"/>
    <w:rsid w:val="005E10FE"/>
    <w:rsid w:val="005E1A53"/>
    <w:rsid w:val="005E2B8D"/>
    <w:rsid w:val="005E2F84"/>
    <w:rsid w:val="005E49B6"/>
    <w:rsid w:val="005E56D0"/>
    <w:rsid w:val="005E67DF"/>
    <w:rsid w:val="005E6A06"/>
    <w:rsid w:val="005E7208"/>
    <w:rsid w:val="005E7E07"/>
    <w:rsid w:val="005F0F1F"/>
    <w:rsid w:val="005F15F8"/>
    <w:rsid w:val="005F17C5"/>
    <w:rsid w:val="005F1F98"/>
    <w:rsid w:val="005F2C46"/>
    <w:rsid w:val="005F36C1"/>
    <w:rsid w:val="005F3F6A"/>
    <w:rsid w:val="005F4436"/>
    <w:rsid w:val="005F59F1"/>
    <w:rsid w:val="005F6760"/>
    <w:rsid w:val="005F7291"/>
    <w:rsid w:val="005F7385"/>
    <w:rsid w:val="0060063A"/>
    <w:rsid w:val="00600F3B"/>
    <w:rsid w:val="00603686"/>
    <w:rsid w:val="00606457"/>
    <w:rsid w:val="006078A0"/>
    <w:rsid w:val="0061000D"/>
    <w:rsid w:val="00610DC1"/>
    <w:rsid w:val="00610FA2"/>
    <w:rsid w:val="006117F5"/>
    <w:rsid w:val="006146F4"/>
    <w:rsid w:val="0061478F"/>
    <w:rsid w:val="00614D74"/>
    <w:rsid w:val="00615B27"/>
    <w:rsid w:val="00615ECD"/>
    <w:rsid w:val="00616138"/>
    <w:rsid w:val="0061655D"/>
    <w:rsid w:val="00616D4A"/>
    <w:rsid w:val="00616F31"/>
    <w:rsid w:val="00621738"/>
    <w:rsid w:val="00621E8B"/>
    <w:rsid w:val="00623620"/>
    <w:rsid w:val="00623B3D"/>
    <w:rsid w:val="00623FA3"/>
    <w:rsid w:val="00623FD1"/>
    <w:rsid w:val="006269B0"/>
    <w:rsid w:val="00626EBB"/>
    <w:rsid w:val="0062726D"/>
    <w:rsid w:val="00630FB4"/>
    <w:rsid w:val="0063149E"/>
    <w:rsid w:val="00631631"/>
    <w:rsid w:val="006324CA"/>
    <w:rsid w:val="00632A44"/>
    <w:rsid w:val="0063361B"/>
    <w:rsid w:val="00634964"/>
    <w:rsid w:val="00635818"/>
    <w:rsid w:val="006360D6"/>
    <w:rsid w:val="006360EC"/>
    <w:rsid w:val="00636DB9"/>
    <w:rsid w:val="00637191"/>
    <w:rsid w:val="00637FC4"/>
    <w:rsid w:val="00637FD4"/>
    <w:rsid w:val="00640493"/>
    <w:rsid w:val="00640EA2"/>
    <w:rsid w:val="00641A91"/>
    <w:rsid w:val="0064216B"/>
    <w:rsid w:val="0064230F"/>
    <w:rsid w:val="00642A70"/>
    <w:rsid w:val="00643159"/>
    <w:rsid w:val="00644B3E"/>
    <w:rsid w:val="0064702D"/>
    <w:rsid w:val="00651759"/>
    <w:rsid w:val="0065206A"/>
    <w:rsid w:val="00653176"/>
    <w:rsid w:val="006560AE"/>
    <w:rsid w:val="006577AB"/>
    <w:rsid w:val="006603C9"/>
    <w:rsid w:val="00660606"/>
    <w:rsid w:val="00660B76"/>
    <w:rsid w:val="006624D0"/>
    <w:rsid w:val="00662A4A"/>
    <w:rsid w:val="00662E16"/>
    <w:rsid w:val="00664974"/>
    <w:rsid w:val="00665357"/>
    <w:rsid w:val="00665F8F"/>
    <w:rsid w:val="00666014"/>
    <w:rsid w:val="00666932"/>
    <w:rsid w:val="00667B23"/>
    <w:rsid w:val="006702AB"/>
    <w:rsid w:val="00671E06"/>
    <w:rsid w:val="00672824"/>
    <w:rsid w:val="006741BC"/>
    <w:rsid w:val="006746A4"/>
    <w:rsid w:val="0067701D"/>
    <w:rsid w:val="006801DD"/>
    <w:rsid w:val="006813C4"/>
    <w:rsid w:val="00681D60"/>
    <w:rsid w:val="00681FE2"/>
    <w:rsid w:val="0068346D"/>
    <w:rsid w:val="006838E3"/>
    <w:rsid w:val="00683AC0"/>
    <w:rsid w:val="00684176"/>
    <w:rsid w:val="00686EF6"/>
    <w:rsid w:val="00687287"/>
    <w:rsid w:val="00687582"/>
    <w:rsid w:val="00687973"/>
    <w:rsid w:val="00690107"/>
    <w:rsid w:val="00690585"/>
    <w:rsid w:val="006919C6"/>
    <w:rsid w:val="0069304D"/>
    <w:rsid w:val="00694D7B"/>
    <w:rsid w:val="006956F0"/>
    <w:rsid w:val="00696425"/>
    <w:rsid w:val="0069695E"/>
    <w:rsid w:val="006A067B"/>
    <w:rsid w:val="006A0CF2"/>
    <w:rsid w:val="006A163F"/>
    <w:rsid w:val="006A1C76"/>
    <w:rsid w:val="006A29AE"/>
    <w:rsid w:val="006A33C9"/>
    <w:rsid w:val="006A3E5A"/>
    <w:rsid w:val="006A40C4"/>
    <w:rsid w:val="006A40E3"/>
    <w:rsid w:val="006A59FD"/>
    <w:rsid w:val="006A601A"/>
    <w:rsid w:val="006A6966"/>
    <w:rsid w:val="006B0FC3"/>
    <w:rsid w:val="006B2245"/>
    <w:rsid w:val="006B41E5"/>
    <w:rsid w:val="006B543A"/>
    <w:rsid w:val="006B5C14"/>
    <w:rsid w:val="006B5C24"/>
    <w:rsid w:val="006B636A"/>
    <w:rsid w:val="006C51A4"/>
    <w:rsid w:val="006C5C34"/>
    <w:rsid w:val="006C60B8"/>
    <w:rsid w:val="006C6267"/>
    <w:rsid w:val="006C7013"/>
    <w:rsid w:val="006D109D"/>
    <w:rsid w:val="006D11D9"/>
    <w:rsid w:val="006D1D91"/>
    <w:rsid w:val="006D3C36"/>
    <w:rsid w:val="006D4CFA"/>
    <w:rsid w:val="006D6FA8"/>
    <w:rsid w:val="006E06BD"/>
    <w:rsid w:val="006E2857"/>
    <w:rsid w:val="006E300F"/>
    <w:rsid w:val="006E330F"/>
    <w:rsid w:val="006E3897"/>
    <w:rsid w:val="006E541E"/>
    <w:rsid w:val="006E6742"/>
    <w:rsid w:val="006E7D19"/>
    <w:rsid w:val="006F19F0"/>
    <w:rsid w:val="006F350E"/>
    <w:rsid w:val="006F3965"/>
    <w:rsid w:val="006F5DE1"/>
    <w:rsid w:val="006F5E5D"/>
    <w:rsid w:val="006F6C0B"/>
    <w:rsid w:val="006F7366"/>
    <w:rsid w:val="006F7716"/>
    <w:rsid w:val="006F782B"/>
    <w:rsid w:val="00701B9A"/>
    <w:rsid w:val="0070225F"/>
    <w:rsid w:val="00702771"/>
    <w:rsid w:val="007034C3"/>
    <w:rsid w:val="00704B03"/>
    <w:rsid w:val="00706652"/>
    <w:rsid w:val="00706E09"/>
    <w:rsid w:val="00706EE9"/>
    <w:rsid w:val="0070773B"/>
    <w:rsid w:val="00707DAA"/>
    <w:rsid w:val="007106C3"/>
    <w:rsid w:val="00710C71"/>
    <w:rsid w:val="00710C87"/>
    <w:rsid w:val="00711C0D"/>
    <w:rsid w:val="0071223D"/>
    <w:rsid w:val="00713742"/>
    <w:rsid w:val="00714702"/>
    <w:rsid w:val="0071489C"/>
    <w:rsid w:val="00717A10"/>
    <w:rsid w:val="00720588"/>
    <w:rsid w:val="0072099D"/>
    <w:rsid w:val="007263D6"/>
    <w:rsid w:val="00726613"/>
    <w:rsid w:val="0072686B"/>
    <w:rsid w:val="00730797"/>
    <w:rsid w:val="007312E0"/>
    <w:rsid w:val="00731471"/>
    <w:rsid w:val="00732341"/>
    <w:rsid w:val="00733E33"/>
    <w:rsid w:val="00736FA1"/>
    <w:rsid w:val="00737F63"/>
    <w:rsid w:val="00740405"/>
    <w:rsid w:val="00742B58"/>
    <w:rsid w:val="0074451F"/>
    <w:rsid w:val="007448ED"/>
    <w:rsid w:val="007453DE"/>
    <w:rsid w:val="00745E68"/>
    <w:rsid w:val="0075073A"/>
    <w:rsid w:val="00751A4B"/>
    <w:rsid w:val="00751F76"/>
    <w:rsid w:val="00752013"/>
    <w:rsid w:val="007539CE"/>
    <w:rsid w:val="00755F52"/>
    <w:rsid w:val="00756F7E"/>
    <w:rsid w:val="00757568"/>
    <w:rsid w:val="007576DF"/>
    <w:rsid w:val="007600A9"/>
    <w:rsid w:val="00764282"/>
    <w:rsid w:val="00764518"/>
    <w:rsid w:val="00766487"/>
    <w:rsid w:val="00766D89"/>
    <w:rsid w:val="00770268"/>
    <w:rsid w:val="00771450"/>
    <w:rsid w:val="00773459"/>
    <w:rsid w:val="00773C6C"/>
    <w:rsid w:val="007742E6"/>
    <w:rsid w:val="0077582D"/>
    <w:rsid w:val="00777C9E"/>
    <w:rsid w:val="007801B9"/>
    <w:rsid w:val="007802DC"/>
    <w:rsid w:val="0078072E"/>
    <w:rsid w:val="007810C3"/>
    <w:rsid w:val="00782358"/>
    <w:rsid w:val="00782FD6"/>
    <w:rsid w:val="007831AB"/>
    <w:rsid w:val="00783A7C"/>
    <w:rsid w:val="00785109"/>
    <w:rsid w:val="00785137"/>
    <w:rsid w:val="007879D0"/>
    <w:rsid w:val="00790BA7"/>
    <w:rsid w:val="007916ED"/>
    <w:rsid w:val="0079195E"/>
    <w:rsid w:val="007925BC"/>
    <w:rsid w:val="00793B2B"/>
    <w:rsid w:val="00794DE6"/>
    <w:rsid w:val="00795872"/>
    <w:rsid w:val="007962DA"/>
    <w:rsid w:val="007974D8"/>
    <w:rsid w:val="007A05DD"/>
    <w:rsid w:val="007A1110"/>
    <w:rsid w:val="007A1812"/>
    <w:rsid w:val="007A254C"/>
    <w:rsid w:val="007A2921"/>
    <w:rsid w:val="007A2F56"/>
    <w:rsid w:val="007A2FEA"/>
    <w:rsid w:val="007A36E5"/>
    <w:rsid w:val="007A3D87"/>
    <w:rsid w:val="007A4209"/>
    <w:rsid w:val="007A455E"/>
    <w:rsid w:val="007A47E1"/>
    <w:rsid w:val="007A56AF"/>
    <w:rsid w:val="007A5FD5"/>
    <w:rsid w:val="007A64A1"/>
    <w:rsid w:val="007B25E3"/>
    <w:rsid w:val="007B4E52"/>
    <w:rsid w:val="007B6870"/>
    <w:rsid w:val="007B6E83"/>
    <w:rsid w:val="007B75AE"/>
    <w:rsid w:val="007B7850"/>
    <w:rsid w:val="007C0BF8"/>
    <w:rsid w:val="007C0C0B"/>
    <w:rsid w:val="007C30E8"/>
    <w:rsid w:val="007C38CC"/>
    <w:rsid w:val="007D0175"/>
    <w:rsid w:val="007D0A00"/>
    <w:rsid w:val="007D0DBA"/>
    <w:rsid w:val="007D1A1E"/>
    <w:rsid w:val="007D4F93"/>
    <w:rsid w:val="007D5037"/>
    <w:rsid w:val="007D584D"/>
    <w:rsid w:val="007D65EA"/>
    <w:rsid w:val="007D6F76"/>
    <w:rsid w:val="007D79DF"/>
    <w:rsid w:val="007E0E63"/>
    <w:rsid w:val="007E5209"/>
    <w:rsid w:val="007E5CEB"/>
    <w:rsid w:val="007E5EBB"/>
    <w:rsid w:val="007E7224"/>
    <w:rsid w:val="007E79F5"/>
    <w:rsid w:val="007E7AED"/>
    <w:rsid w:val="007F0607"/>
    <w:rsid w:val="007F14E1"/>
    <w:rsid w:val="007F1595"/>
    <w:rsid w:val="007F2968"/>
    <w:rsid w:val="007F2B4B"/>
    <w:rsid w:val="007F3007"/>
    <w:rsid w:val="007F33DE"/>
    <w:rsid w:val="007F3D0E"/>
    <w:rsid w:val="007F3FD6"/>
    <w:rsid w:val="007F4576"/>
    <w:rsid w:val="007F45FD"/>
    <w:rsid w:val="007F4DF8"/>
    <w:rsid w:val="007F5A59"/>
    <w:rsid w:val="007F701B"/>
    <w:rsid w:val="008011C5"/>
    <w:rsid w:val="00801229"/>
    <w:rsid w:val="0080226B"/>
    <w:rsid w:val="008027E6"/>
    <w:rsid w:val="0080591D"/>
    <w:rsid w:val="00806C2E"/>
    <w:rsid w:val="00807169"/>
    <w:rsid w:val="008078F9"/>
    <w:rsid w:val="00807D9C"/>
    <w:rsid w:val="00811145"/>
    <w:rsid w:val="00811D3C"/>
    <w:rsid w:val="00813D17"/>
    <w:rsid w:val="008152CE"/>
    <w:rsid w:val="00815F27"/>
    <w:rsid w:val="008173C3"/>
    <w:rsid w:val="00817536"/>
    <w:rsid w:val="008177D9"/>
    <w:rsid w:val="00822B7F"/>
    <w:rsid w:val="00824EE2"/>
    <w:rsid w:val="00824FDF"/>
    <w:rsid w:val="00825326"/>
    <w:rsid w:val="008265B1"/>
    <w:rsid w:val="008276D1"/>
    <w:rsid w:val="0083087B"/>
    <w:rsid w:val="00830A5C"/>
    <w:rsid w:val="008312CA"/>
    <w:rsid w:val="00831724"/>
    <w:rsid w:val="00831957"/>
    <w:rsid w:val="0083260B"/>
    <w:rsid w:val="00833ED7"/>
    <w:rsid w:val="00835713"/>
    <w:rsid w:val="0083761A"/>
    <w:rsid w:val="0083788C"/>
    <w:rsid w:val="008411FB"/>
    <w:rsid w:val="00843561"/>
    <w:rsid w:val="0084509E"/>
    <w:rsid w:val="008452BB"/>
    <w:rsid w:val="00845548"/>
    <w:rsid w:val="00845715"/>
    <w:rsid w:val="00845B63"/>
    <w:rsid w:val="00845EEE"/>
    <w:rsid w:val="008523D7"/>
    <w:rsid w:val="0085290D"/>
    <w:rsid w:val="00854BD9"/>
    <w:rsid w:val="008559A1"/>
    <w:rsid w:val="00855C21"/>
    <w:rsid w:val="00856146"/>
    <w:rsid w:val="008571E7"/>
    <w:rsid w:val="00857BE1"/>
    <w:rsid w:val="00861609"/>
    <w:rsid w:val="00862944"/>
    <w:rsid w:val="0086365A"/>
    <w:rsid w:val="00864D9A"/>
    <w:rsid w:val="0086621C"/>
    <w:rsid w:val="00867C8E"/>
    <w:rsid w:val="0087041B"/>
    <w:rsid w:val="008706CD"/>
    <w:rsid w:val="008710D2"/>
    <w:rsid w:val="00871B2E"/>
    <w:rsid w:val="008724F0"/>
    <w:rsid w:val="00872587"/>
    <w:rsid w:val="0087325A"/>
    <w:rsid w:val="00874D64"/>
    <w:rsid w:val="00875E76"/>
    <w:rsid w:val="008779C8"/>
    <w:rsid w:val="00880271"/>
    <w:rsid w:val="008816EC"/>
    <w:rsid w:val="00881EE1"/>
    <w:rsid w:val="008821F2"/>
    <w:rsid w:val="00882F27"/>
    <w:rsid w:val="00883270"/>
    <w:rsid w:val="00884F7A"/>
    <w:rsid w:val="00886E22"/>
    <w:rsid w:val="008870C7"/>
    <w:rsid w:val="0088782E"/>
    <w:rsid w:val="00890959"/>
    <w:rsid w:val="00891CFE"/>
    <w:rsid w:val="00892A3F"/>
    <w:rsid w:val="0089316A"/>
    <w:rsid w:val="008938BA"/>
    <w:rsid w:val="00893E7C"/>
    <w:rsid w:val="00894A9E"/>
    <w:rsid w:val="00895495"/>
    <w:rsid w:val="00895EB7"/>
    <w:rsid w:val="00897895"/>
    <w:rsid w:val="008A057A"/>
    <w:rsid w:val="008A0B4D"/>
    <w:rsid w:val="008A1B50"/>
    <w:rsid w:val="008A2174"/>
    <w:rsid w:val="008A27E3"/>
    <w:rsid w:val="008A2C79"/>
    <w:rsid w:val="008A45CF"/>
    <w:rsid w:val="008A52AB"/>
    <w:rsid w:val="008A552D"/>
    <w:rsid w:val="008A6414"/>
    <w:rsid w:val="008B2EF4"/>
    <w:rsid w:val="008B32A3"/>
    <w:rsid w:val="008B48AB"/>
    <w:rsid w:val="008B5664"/>
    <w:rsid w:val="008B6E38"/>
    <w:rsid w:val="008B7604"/>
    <w:rsid w:val="008B7CB6"/>
    <w:rsid w:val="008C0922"/>
    <w:rsid w:val="008C15AD"/>
    <w:rsid w:val="008C1E45"/>
    <w:rsid w:val="008C3631"/>
    <w:rsid w:val="008C3633"/>
    <w:rsid w:val="008C7131"/>
    <w:rsid w:val="008D1B7C"/>
    <w:rsid w:val="008D245B"/>
    <w:rsid w:val="008D271A"/>
    <w:rsid w:val="008D33F4"/>
    <w:rsid w:val="008D3F13"/>
    <w:rsid w:val="008D4257"/>
    <w:rsid w:val="008D43FE"/>
    <w:rsid w:val="008D702C"/>
    <w:rsid w:val="008D747E"/>
    <w:rsid w:val="008E12A4"/>
    <w:rsid w:val="008E1836"/>
    <w:rsid w:val="008E2D75"/>
    <w:rsid w:val="008E35E1"/>
    <w:rsid w:val="008E394F"/>
    <w:rsid w:val="008E4263"/>
    <w:rsid w:val="008E5AA9"/>
    <w:rsid w:val="008E7427"/>
    <w:rsid w:val="008F02F9"/>
    <w:rsid w:val="008F051F"/>
    <w:rsid w:val="008F065F"/>
    <w:rsid w:val="008F0FFF"/>
    <w:rsid w:val="008F1A6E"/>
    <w:rsid w:val="008F219B"/>
    <w:rsid w:val="008F3C0F"/>
    <w:rsid w:val="008F40CC"/>
    <w:rsid w:val="008F55F5"/>
    <w:rsid w:val="008F5B48"/>
    <w:rsid w:val="008F6B0B"/>
    <w:rsid w:val="008F7ADB"/>
    <w:rsid w:val="00901D6F"/>
    <w:rsid w:val="009026F8"/>
    <w:rsid w:val="00903A0E"/>
    <w:rsid w:val="00903E06"/>
    <w:rsid w:val="0090423A"/>
    <w:rsid w:val="0090430C"/>
    <w:rsid w:val="009047B8"/>
    <w:rsid w:val="009060AF"/>
    <w:rsid w:val="00907BCE"/>
    <w:rsid w:val="009118F7"/>
    <w:rsid w:val="0091241C"/>
    <w:rsid w:val="009130DD"/>
    <w:rsid w:val="0091395D"/>
    <w:rsid w:val="00914638"/>
    <w:rsid w:val="009149F9"/>
    <w:rsid w:val="00914C24"/>
    <w:rsid w:val="00914F12"/>
    <w:rsid w:val="009219F9"/>
    <w:rsid w:val="00921A1B"/>
    <w:rsid w:val="009225F2"/>
    <w:rsid w:val="0092325C"/>
    <w:rsid w:val="009242EC"/>
    <w:rsid w:val="00924476"/>
    <w:rsid w:val="00925030"/>
    <w:rsid w:val="0092527C"/>
    <w:rsid w:val="009252F0"/>
    <w:rsid w:val="009257EB"/>
    <w:rsid w:val="0092667C"/>
    <w:rsid w:val="009266A5"/>
    <w:rsid w:val="0093008F"/>
    <w:rsid w:val="00931E52"/>
    <w:rsid w:val="00932E56"/>
    <w:rsid w:val="009347C7"/>
    <w:rsid w:val="00934E03"/>
    <w:rsid w:val="009433DB"/>
    <w:rsid w:val="0094503F"/>
    <w:rsid w:val="00945348"/>
    <w:rsid w:val="00945416"/>
    <w:rsid w:val="00945EEC"/>
    <w:rsid w:val="00950D7E"/>
    <w:rsid w:val="009524DF"/>
    <w:rsid w:val="00952719"/>
    <w:rsid w:val="00952EA1"/>
    <w:rsid w:val="009539A0"/>
    <w:rsid w:val="009550AE"/>
    <w:rsid w:val="00955922"/>
    <w:rsid w:val="009565FF"/>
    <w:rsid w:val="009579CC"/>
    <w:rsid w:val="00957C20"/>
    <w:rsid w:val="00960CE4"/>
    <w:rsid w:val="00961069"/>
    <w:rsid w:val="00961118"/>
    <w:rsid w:val="009628D1"/>
    <w:rsid w:val="009645F1"/>
    <w:rsid w:val="00964B1F"/>
    <w:rsid w:val="0096602D"/>
    <w:rsid w:val="00966E17"/>
    <w:rsid w:val="00967799"/>
    <w:rsid w:val="00970308"/>
    <w:rsid w:val="00971A48"/>
    <w:rsid w:val="0097308B"/>
    <w:rsid w:val="00973163"/>
    <w:rsid w:val="009741A3"/>
    <w:rsid w:val="009747FB"/>
    <w:rsid w:val="009753F7"/>
    <w:rsid w:val="009756E2"/>
    <w:rsid w:val="00976B54"/>
    <w:rsid w:val="00976DD6"/>
    <w:rsid w:val="00977BE0"/>
    <w:rsid w:val="00980140"/>
    <w:rsid w:val="009807A3"/>
    <w:rsid w:val="00981D57"/>
    <w:rsid w:val="009848E8"/>
    <w:rsid w:val="00984C8D"/>
    <w:rsid w:val="009869ED"/>
    <w:rsid w:val="00986D0C"/>
    <w:rsid w:val="00986E19"/>
    <w:rsid w:val="00987414"/>
    <w:rsid w:val="00992BE6"/>
    <w:rsid w:val="00994640"/>
    <w:rsid w:val="0099570F"/>
    <w:rsid w:val="00995883"/>
    <w:rsid w:val="00996579"/>
    <w:rsid w:val="00996925"/>
    <w:rsid w:val="009A018B"/>
    <w:rsid w:val="009A019E"/>
    <w:rsid w:val="009A18FD"/>
    <w:rsid w:val="009A1DC0"/>
    <w:rsid w:val="009A1FC9"/>
    <w:rsid w:val="009A3AD9"/>
    <w:rsid w:val="009A3EAB"/>
    <w:rsid w:val="009A65BA"/>
    <w:rsid w:val="009A71E6"/>
    <w:rsid w:val="009B11BB"/>
    <w:rsid w:val="009B12AF"/>
    <w:rsid w:val="009B1919"/>
    <w:rsid w:val="009B199B"/>
    <w:rsid w:val="009B1A16"/>
    <w:rsid w:val="009B1E33"/>
    <w:rsid w:val="009B1E5D"/>
    <w:rsid w:val="009B25D0"/>
    <w:rsid w:val="009B27BF"/>
    <w:rsid w:val="009B2AD5"/>
    <w:rsid w:val="009B32E5"/>
    <w:rsid w:val="009B41B6"/>
    <w:rsid w:val="009B4B51"/>
    <w:rsid w:val="009B583C"/>
    <w:rsid w:val="009B7871"/>
    <w:rsid w:val="009C03DA"/>
    <w:rsid w:val="009C091F"/>
    <w:rsid w:val="009C0BE2"/>
    <w:rsid w:val="009C3901"/>
    <w:rsid w:val="009C4023"/>
    <w:rsid w:val="009C485A"/>
    <w:rsid w:val="009C4E60"/>
    <w:rsid w:val="009C58D6"/>
    <w:rsid w:val="009C5D2D"/>
    <w:rsid w:val="009C61A3"/>
    <w:rsid w:val="009C7A24"/>
    <w:rsid w:val="009D07C0"/>
    <w:rsid w:val="009D13FB"/>
    <w:rsid w:val="009D2928"/>
    <w:rsid w:val="009D2B02"/>
    <w:rsid w:val="009D332C"/>
    <w:rsid w:val="009D38F4"/>
    <w:rsid w:val="009D4013"/>
    <w:rsid w:val="009D69E8"/>
    <w:rsid w:val="009E1D2A"/>
    <w:rsid w:val="009E22EF"/>
    <w:rsid w:val="009E4CA9"/>
    <w:rsid w:val="009E4D1B"/>
    <w:rsid w:val="009E5770"/>
    <w:rsid w:val="009E6260"/>
    <w:rsid w:val="009E6837"/>
    <w:rsid w:val="009E7D45"/>
    <w:rsid w:val="009F1145"/>
    <w:rsid w:val="009F1CBF"/>
    <w:rsid w:val="009F2270"/>
    <w:rsid w:val="009F22F4"/>
    <w:rsid w:val="009F25F2"/>
    <w:rsid w:val="009F3D8D"/>
    <w:rsid w:val="009F5468"/>
    <w:rsid w:val="009F66ED"/>
    <w:rsid w:val="009F675B"/>
    <w:rsid w:val="009F7499"/>
    <w:rsid w:val="009F7F73"/>
    <w:rsid w:val="00A0004B"/>
    <w:rsid w:val="00A01CAB"/>
    <w:rsid w:val="00A021DD"/>
    <w:rsid w:val="00A02ADB"/>
    <w:rsid w:val="00A03CE4"/>
    <w:rsid w:val="00A054C9"/>
    <w:rsid w:val="00A06764"/>
    <w:rsid w:val="00A07043"/>
    <w:rsid w:val="00A072DB"/>
    <w:rsid w:val="00A07C09"/>
    <w:rsid w:val="00A11D6B"/>
    <w:rsid w:val="00A12C9B"/>
    <w:rsid w:val="00A1361D"/>
    <w:rsid w:val="00A14028"/>
    <w:rsid w:val="00A146AF"/>
    <w:rsid w:val="00A146E9"/>
    <w:rsid w:val="00A14C89"/>
    <w:rsid w:val="00A1723F"/>
    <w:rsid w:val="00A17301"/>
    <w:rsid w:val="00A17392"/>
    <w:rsid w:val="00A17B26"/>
    <w:rsid w:val="00A17BD3"/>
    <w:rsid w:val="00A2018C"/>
    <w:rsid w:val="00A22E0E"/>
    <w:rsid w:val="00A23C55"/>
    <w:rsid w:val="00A23EF3"/>
    <w:rsid w:val="00A24D39"/>
    <w:rsid w:val="00A25D7F"/>
    <w:rsid w:val="00A2778D"/>
    <w:rsid w:val="00A27C93"/>
    <w:rsid w:val="00A32290"/>
    <w:rsid w:val="00A355E9"/>
    <w:rsid w:val="00A37BC4"/>
    <w:rsid w:val="00A37C70"/>
    <w:rsid w:val="00A40F2A"/>
    <w:rsid w:val="00A41650"/>
    <w:rsid w:val="00A42D54"/>
    <w:rsid w:val="00A4388D"/>
    <w:rsid w:val="00A45453"/>
    <w:rsid w:val="00A47ABE"/>
    <w:rsid w:val="00A47D75"/>
    <w:rsid w:val="00A47E01"/>
    <w:rsid w:val="00A50BDB"/>
    <w:rsid w:val="00A5113A"/>
    <w:rsid w:val="00A51735"/>
    <w:rsid w:val="00A51E0F"/>
    <w:rsid w:val="00A52848"/>
    <w:rsid w:val="00A531F5"/>
    <w:rsid w:val="00A54355"/>
    <w:rsid w:val="00A545AA"/>
    <w:rsid w:val="00A55B7E"/>
    <w:rsid w:val="00A578C7"/>
    <w:rsid w:val="00A57B8E"/>
    <w:rsid w:val="00A57D38"/>
    <w:rsid w:val="00A612F2"/>
    <w:rsid w:val="00A62857"/>
    <w:rsid w:val="00A629E5"/>
    <w:rsid w:val="00A65844"/>
    <w:rsid w:val="00A670E8"/>
    <w:rsid w:val="00A70222"/>
    <w:rsid w:val="00A712AB"/>
    <w:rsid w:val="00A7424B"/>
    <w:rsid w:val="00A7491C"/>
    <w:rsid w:val="00A7599B"/>
    <w:rsid w:val="00A774D6"/>
    <w:rsid w:val="00A80BDB"/>
    <w:rsid w:val="00A8117B"/>
    <w:rsid w:val="00A812F7"/>
    <w:rsid w:val="00A818C4"/>
    <w:rsid w:val="00A81A78"/>
    <w:rsid w:val="00A822B3"/>
    <w:rsid w:val="00A826C3"/>
    <w:rsid w:val="00A82AB2"/>
    <w:rsid w:val="00A82C43"/>
    <w:rsid w:val="00A83E5E"/>
    <w:rsid w:val="00A86206"/>
    <w:rsid w:val="00A86ACD"/>
    <w:rsid w:val="00A87716"/>
    <w:rsid w:val="00A879BA"/>
    <w:rsid w:val="00A907A7"/>
    <w:rsid w:val="00A908E9"/>
    <w:rsid w:val="00A9259A"/>
    <w:rsid w:val="00A92EC7"/>
    <w:rsid w:val="00A93028"/>
    <w:rsid w:val="00A93AD2"/>
    <w:rsid w:val="00A960E6"/>
    <w:rsid w:val="00A96D21"/>
    <w:rsid w:val="00A978E0"/>
    <w:rsid w:val="00AA01A9"/>
    <w:rsid w:val="00AA07B8"/>
    <w:rsid w:val="00AA0A2F"/>
    <w:rsid w:val="00AA0E58"/>
    <w:rsid w:val="00AA2891"/>
    <w:rsid w:val="00AA42DB"/>
    <w:rsid w:val="00AA4300"/>
    <w:rsid w:val="00AA4703"/>
    <w:rsid w:val="00AA4EE9"/>
    <w:rsid w:val="00AA5E90"/>
    <w:rsid w:val="00AA68FA"/>
    <w:rsid w:val="00AA6B77"/>
    <w:rsid w:val="00AB0297"/>
    <w:rsid w:val="00AB0D00"/>
    <w:rsid w:val="00AB15A5"/>
    <w:rsid w:val="00AB1EF5"/>
    <w:rsid w:val="00AB2084"/>
    <w:rsid w:val="00AC0884"/>
    <w:rsid w:val="00AC355D"/>
    <w:rsid w:val="00AC5284"/>
    <w:rsid w:val="00AC675E"/>
    <w:rsid w:val="00AD3177"/>
    <w:rsid w:val="00AD392F"/>
    <w:rsid w:val="00AD40A0"/>
    <w:rsid w:val="00AD445F"/>
    <w:rsid w:val="00AE030F"/>
    <w:rsid w:val="00AE3588"/>
    <w:rsid w:val="00AE3B60"/>
    <w:rsid w:val="00AE49DD"/>
    <w:rsid w:val="00AE7158"/>
    <w:rsid w:val="00AF231D"/>
    <w:rsid w:val="00AF27B1"/>
    <w:rsid w:val="00AF402B"/>
    <w:rsid w:val="00AF56DF"/>
    <w:rsid w:val="00AF6C7E"/>
    <w:rsid w:val="00AF7042"/>
    <w:rsid w:val="00B0032B"/>
    <w:rsid w:val="00B00E09"/>
    <w:rsid w:val="00B044B8"/>
    <w:rsid w:val="00B062BA"/>
    <w:rsid w:val="00B07DDA"/>
    <w:rsid w:val="00B112C2"/>
    <w:rsid w:val="00B1162A"/>
    <w:rsid w:val="00B12658"/>
    <w:rsid w:val="00B12898"/>
    <w:rsid w:val="00B12F4D"/>
    <w:rsid w:val="00B13125"/>
    <w:rsid w:val="00B13183"/>
    <w:rsid w:val="00B13368"/>
    <w:rsid w:val="00B13FCB"/>
    <w:rsid w:val="00B14D77"/>
    <w:rsid w:val="00B15A17"/>
    <w:rsid w:val="00B167AC"/>
    <w:rsid w:val="00B17A95"/>
    <w:rsid w:val="00B17FB3"/>
    <w:rsid w:val="00B22709"/>
    <w:rsid w:val="00B22A6B"/>
    <w:rsid w:val="00B23630"/>
    <w:rsid w:val="00B2636F"/>
    <w:rsid w:val="00B26CE7"/>
    <w:rsid w:val="00B30F1B"/>
    <w:rsid w:val="00B32E32"/>
    <w:rsid w:val="00B334C1"/>
    <w:rsid w:val="00B33CDE"/>
    <w:rsid w:val="00B3480F"/>
    <w:rsid w:val="00B34983"/>
    <w:rsid w:val="00B36573"/>
    <w:rsid w:val="00B36A58"/>
    <w:rsid w:val="00B375F0"/>
    <w:rsid w:val="00B37653"/>
    <w:rsid w:val="00B37E02"/>
    <w:rsid w:val="00B407EF"/>
    <w:rsid w:val="00B4152D"/>
    <w:rsid w:val="00B415A1"/>
    <w:rsid w:val="00B435A4"/>
    <w:rsid w:val="00B449A6"/>
    <w:rsid w:val="00B44A1F"/>
    <w:rsid w:val="00B45E7E"/>
    <w:rsid w:val="00B4718A"/>
    <w:rsid w:val="00B500B3"/>
    <w:rsid w:val="00B5223A"/>
    <w:rsid w:val="00B52490"/>
    <w:rsid w:val="00B53FFF"/>
    <w:rsid w:val="00B55846"/>
    <w:rsid w:val="00B55B26"/>
    <w:rsid w:val="00B56160"/>
    <w:rsid w:val="00B561F6"/>
    <w:rsid w:val="00B5654F"/>
    <w:rsid w:val="00B56815"/>
    <w:rsid w:val="00B56BE1"/>
    <w:rsid w:val="00B602FF"/>
    <w:rsid w:val="00B6102A"/>
    <w:rsid w:val="00B61B6A"/>
    <w:rsid w:val="00B62CC2"/>
    <w:rsid w:val="00B652EB"/>
    <w:rsid w:val="00B668CE"/>
    <w:rsid w:val="00B675F0"/>
    <w:rsid w:val="00B678FB"/>
    <w:rsid w:val="00B71391"/>
    <w:rsid w:val="00B71851"/>
    <w:rsid w:val="00B72508"/>
    <w:rsid w:val="00B72630"/>
    <w:rsid w:val="00B72BD9"/>
    <w:rsid w:val="00B73F67"/>
    <w:rsid w:val="00B76401"/>
    <w:rsid w:val="00B768FA"/>
    <w:rsid w:val="00B76FB6"/>
    <w:rsid w:val="00B8067C"/>
    <w:rsid w:val="00B80E99"/>
    <w:rsid w:val="00B8155A"/>
    <w:rsid w:val="00B82006"/>
    <w:rsid w:val="00B82AF9"/>
    <w:rsid w:val="00B82F9F"/>
    <w:rsid w:val="00B8369A"/>
    <w:rsid w:val="00B84FC0"/>
    <w:rsid w:val="00B871F8"/>
    <w:rsid w:val="00B87CB8"/>
    <w:rsid w:val="00B90A43"/>
    <w:rsid w:val="00B91968"/>
    <w:rsid w:val="00B92050"/>
    <w:rsid w:val="00B93098"/>
    <w:rsid w:val="00B94279"/>
    <w:rsid w:val="00B957AC"/>
    <w:rsid w:val="00B96AB3"/>
    <w:rsid w:val="00B977C8"/>
    <w:rsid w:val="00BA09FA"/>
    <w:rsid w:val="00BA0D66"/>
    <w:rsid w:val="00BA1BBD"/>
    <w:rsid w:val="00BA1CAF"/>
    <w:rsid w:val="00BA42C1"/>
    <w:rsid w:val="00BA56D4"/>
    <w:rsid w:val="00BA5AB8"/>
    <w:rsid w:val="00BA7181"/>
    <w:rsid w:val="00BA73F2"/>
    <w:rsid w:val="00BA775D"/>
    <w:rsid w:val="00BB0242"/>
    <w:rsid w:val="00BB1B55"/>
    <w:rsid w:val="00BB2BD9"/>
    <w:rsid w:val="00BB30AD"/>
    <w:rsid w:val="00BB4EA6"/>
    <w:rsid w:val="00BB4FA1"/>
    <w:rsid w:val="00BB534F"/>
    <w:rsid w:val="00BB5E81"/>
    <w:rsid w:val="00BB7B9B"/>
    <w:rsid w:val="00BB7C3E"/>
    <w:rsid w:val="00BB7C98"/>
    <w:rsid w:val="00BC0BF7"/>
    <w:rsid w:val="00BC0EB1"/>
    <w:rsid w:val="00BC0F60"/>
    <w:rsid w:val="00BC1BEE"/>
    <w:rsid w:val="00BC1D6E"/>
    <w:rsid w:val="00BC24A5"/>
    <w:rsid w:val="00BC302B"/>
    <w:rsid w:val="00BC3103"/>
    <w:rsid w:val="00BC3BC4"/>
    <w:rsid w:val="00BC3DE6"/>
    <w:rsid w:val="00BC4D16"/>
    <w:rsid w:val="00BD07CE"/>
    <w:rsid w:val="00BD16D1"/>
    <w:rsid w:val="00BD197A"/>
    <w:rsid w:val="00BD1C35"/>
    <w:rsid w:val="00BD23E5"/>
    <w:rsid w:val="00BD4CF2"/>
    <w:rsid w:val="00BD4D01"/>
    <w:rsid w:val="00BD6CDD"/>
    <w:rsid w:val="00BE1131"/>
    <w:rsid w:val="00BE149B"/>
    <w:rsid w:val="00BE164F"/>
    <w:rsid w:val="00BE251C"/>
    <w:rsid w:val="00BE2948"/>
    <w:rsid w:val="00BE32E8"/>
    <w:rsid w:val="00BE38AB"/>
    <w:rsid w:val="00BE588B"/>
    <w:rsid w:val="00BE7731"/>
    <w:rsid w:val="00BE7C78"/>
    <w:rsid w:val="00BE7F6A"/>
    <w:rsid w:val="00BF2552"/>
    <w:rsid w:val="00BF601D"/>
    <w:rsid w:val="00BF6025"/>
    <w:rsid w:val="00BF7583"/>
    <w:rsid w:val="00BF7C2F"/>
    <w:rsid w:val="00BF7D37"/>
    <w:rsid w:val="00C0038B"/>
    <w:rsid w:val="00C00C71"/>
    <w:rsid w:val="00C025EC"/>
    <w:rsid w:val="00C03353"/>
    <w:rsid w:val="00C03AD3"/>
    <w:rsid w:val="00C03C68"/>
    <w:rsid w:val="00C05CF8"/>
    <w:rsid w:val="00C066AA"/>
    <w:rsid w:val="00C06EF9"/>
    <w:rsid w:val="00C070F4"/>
    <w:rsid w:val="00C0742A"/>
    <w:rsid w:val="00C1018A"/>
    <w:rsid w:val="00C10738"/>
    <w:rsid w:val="00C115F3"/>
    <w:rsid w:val="00C11B71"/>
    <w:rsid w:val="00C131A0"/>
    <w:rsid w:val="00C13608"/>
    <w:rsid w:val="00C13F74"/>
    <w:rsid w:val="00C14AB1"/>
    <w:rsid w:val="00C14C56"/>
    <w:rsid w:val="00C15603"/>
    <w:rsid w:val="00C16D90"/>
    <w:rsid w:val="00C17E97"/>
    <w:rsid w:val="00C20C38"/>
    <w:rsid w:val="00C211F0"/>
    <w:rsid w:val="00C21927"/>
    <w:rsid w:val="00C22034"/>
    <w:rsid w:val="00C22210"/>
    <w:rsid w:val="00C22D2B"/>
    <w:rsid w:val="00C2451F"/>
    <w:rsid w:val="00C25FAF"/>
    <w:rsid w:val="00C301D9"/>
    <w:rsid w:val="00C30C2A"/>
    <w:rsid w:val="00C31820"/>
    <w:rsid w:val="00C320DB"/>
    <w:rsid w:val="00C333F1"/>
    <w:rsid w:val="00C36712"/>
    <w:rsid w:val="00C36BB9"/>
    <w:rsid w:val="00C36F93"/>
    <w:rsid w:val="00C37408"/>
    <w:rsid w:val="00C4063B"/>
    <w:rsid w:val="00C42C02"/>
    <w:rsid w:val="00C42FD5"/>
    <w:rsid w:val="00C43AAC"/>
    <w:rsid w:val="00C4450A"/>
    <w:rsid w:val="00C45734"/>
    <w:rsid w:val="00C461C4"/>
    <w:rsid w:val="00C46237"/>
    <w:rsid w:val="00C46505"/>
    <w:rsid w:val="00C50F0F"/>
    <w:rsid w:val="00C52042"/>
    <w:rsid w:val="00C52EAC"/>
    <w:rsid w:val="00C530AF"/>
    <w:rsid w:val="00C53E34"/>
    <w:rsid w:val="00C55C08"/>
    <w:rsid w:val="00C56CD1"/>
    <w:rsid w:val="00C56F0B"/>
    <w:rsid w:val="00C61E8B"/>
    <w:rsid w:val="00C62FC6"/>
    <w:rsid w:val="00C659F3"/>
    <w:rsid w:val="00C66CC7"/>
    <w:rsid w:val="00C66F0C"/>
    <w:rsid w:val="00C679F7"/>
    <w:rsid w:val="00C70D68"/>
    <w:rsid w:val="00C71386"/>
    <w:rsid w:val="00C713E2"/>
    <w:rsid w:val="00C72333"/>
    <w:rsid w:val="00C7261C"/>
    <w:rsid w:val="00C73531"/>
    <w:rsid w:val="00C75263"/>
    <w:rsid w:val="00C75544"/>
    <w:rsid w:val="00C75FED"/>
    <w:rsid w:val="00C76745"/>
    <w:rsid w:val="00C76B53"/>
    <w:rsid w:val="00C76C73"/>
    <w:rsid w:val="00C7780B"/>
    <w:rsid w:val="00C77F54"/>
    <w:rsid w:val="00C8182F"/>
    <w:rsid w:val="00C82690"/>
    <w:rsid w:val="00C8270D"/>
    <w:rsid w:val="00C82BFF"/>
    <w:rsid w:val="00C832D5"/>
    <w:rsid w:val="00C84718"/>
    <w:rsid w:val="00C85C21"/>
    <w:rsid w:val="00C8659C"/>
    <w:rsid w:val="00C86BA3"/>
    <w:rsid w:val="00C92CBE"/>
    <w:rsid w:val="00C9451E"/>
    <w:rsid w:val="00C9492B"/>
    <w:rsid w:val="00C95E2C"/>
    <w:rsid w:val="00C95EE8"/>
    <w:rsid w:val="00C96853"/>
    <w:rsid w:val="00C97863"/>
    <w:rsid w:val="00C97E6C"/>
    <w:rsid w:val="00CA16E0"/>
    <w:rsid w:val="00CA2205"/>
    <w:rsid w:val="00CA318E"/>
    <w:rsid w:val="00CA3251"/>
    <w:rsid w:val="00CA3A34"/>
    <w:rsid w:val="00CA5C4B"/>
    <w:rsid w:val="00CA5CDF"/>
    <w:rsid w:val="00CA6505"/>
    <w:rsid w:val="00CA6FE8"/>
    <w:rsid w:val="00CA7475"/>
    <w:rsid w:val="00CB1136"/>
    <w:rsid w:val="00CB1A5E"/>
    <w:rsid w:val="00CB2566"/>
    <w:rsid w:val="00CB284F"/>
    <w:rsid w:val="00CB2DAE"/>
    <w:rsid w:val="00CB2DCE"/>
    <w:rsid w:val="00CB3892"/>
    <w:rsid w:val="00CB3FF5"/>
    <w:rsid w:val="00CB4146"/>
    <w:rsid w:val="00CB4B7B"/>
    <w:rsid w:val="00CB4DF6"/>
    <w:rsid w:val="00CB5CC6"/>
    <w:rsid w:val="00CB6F4D"/>
    <w:rsid w:val="00CB72E0"/>
    <w:rsid w:val="00CB75A5"/>
    <w:rsid w:val="00CB7D60"/>
    <w:rsid w:val="00CC11EB"/>
    <w:rsid w:val="00CC128C"/>
    <w:rsid w:val="00CC1DDD"/>
    <w:rsid w:val="00CC2CE6"/>
    <w:rsid w:val="00CC3CCA"/>
    <w:rsid w:val="00CC47F9"/>
    <w:rsid w:val="00CC76EC"/>
    <w:rsid w:val="00CD0620"/>
    <w:rsid w:val="00CD083B"/>
    <w:rsid w:val="00CD1A82"/>
    <w:rsid w:val="00CD25B0"/>
    <w:rsid w:val="00CD2BBF"/>
    <w:rsid w:val="00CD31A2"/>
    <w:rsid w:val="00CD4737"/>
    <w:rsid w:val="00CD5158"/>
    <w:rsid w:val="00CD5713"/>
    <w:rsid w:val="00CD58E5"/>
    <w:rsid w:val="00CD63BB"/>
    <w:rsid w:val="00CD76E9"/>
    <w:rsid w:val="00CE15E4"/>
    <w:rsid w:val="00CE21C1"/>
    <w:rsid w:val="00CE2AA2"/>
    <w:rsid w:val="00CE34AB"/>
    <w:rsid w:val="00CE436E"/>
    <w:rsid w:val="00CE4408"/>
    <w:rsid w:val="00CE595E"/>
    <w:rsid w:val="00CE7C1F"/>
    <w:rsid w:val="00CF00B0"/>
    <w:rsid w:val="00CF08B5"/>
    <w:rsid w:val="00CF1A6F"/>
    <w:rsid w:val="00CF1DC8"/>
    <w:rsid w:val="00CF1F59"/>
    <w:rsid w:val="00CF3E84"/>
    <w:rsid w:val="00CF4616"/>
    <w:rsid w:val="00CF5DA9"/>
    <w:rsid w:val="00D002F8"/>
    <w:rsid w:val="00D010E7"/>
    <w:rsid w:val="00D015A4"/>
    <w:rsid w:val="00D02981"/>
    <w:rsid w:val="00D03D1F"/>
    <w:rsid w:val="00D040E4"/>
    <w:rsid w:val="00D05126"/>
    <w:rsid w:val="00D05C5B"/>
    <w:rsid w:val="00D076EA"/>
    <w:rsid w:val="00D1315E"/>
    <w:rsid w:val="00D136FD"/>
    <w:rsid w:val="00D1401B"/>
    <w:rsid w:val="00D14473"/>
    <w:rsid w:val="00D211AD"/>
    <w:rsid w:val="00D21C8F"/>
    <w:rsid w:val="00D21CD2"/>
    <w:rsid w:val="00D2383F"/>
    <w:rsid w:val="00D26642"/>
    <w:rsid w:val="00D26FCA"/>
    <w:rsid w:val="00D27A25"/>
    <w:rsid w:val="00D27B62"/>
    <w:rsid w:val="00D306D0"/>
    <w:rsid w:val="00D31769"/>
    <w:rsid w:val="00D32391"/>
    <w:rsid w:val="00D32969"/>
    <w:rsid w:val="00D33345"/>
    <w:rsid w:val="00D35F8C"/>
    <w:rsid w:val="00D36BA0"/>
    <w:rsid w:val="00D41053"/>
    <w:rsid w:val="00D413B3"/>
    <w:rsid w:val="00D42C40"/>
    <w:rsid w:val="00D44B8A"/>
    <w:rsid w:val="00D456C2"/>
    <w:rsid w:val="00D518E5"/>
    <w:rsid w:val="00D52134"/>
    <w:rsid w:val="00D56CA9"/>
    <w:rsid w:val="00D57072"/>
    <w:rsid w:val="00D60243"/>
    <w:rsid w:val="00D60789"/>
    <w:rsid w:val="00D6212E"/>
    <w:rsid w:val="00D65F8A"/>
    <w:rsid w:val="00D6781A"/>
    <w:rsid w:val="00D704C6"/>
    <w:rsid w:val="00D714EC"/>
    <w:rsid w:val="00D734D2"/>
    <w:rsid w:val="00D7378D"/>
    <w:rsid w:val="00D7410B"/>
    <w:rsid w:val="00D74165"/>
    <w:rsid w:val="00D76907"/>
    <w:rsid w:val="00D77639"/>
    <w:rsid w:val="00D80C6C"/>
    <w:rsid w:val="00D826D9"/>
    <w:rsid w:val="00D84022"/>
    <w:rsid w:val="00D85378"/>
    <w:rsid w:val="00D86CBF"/>
    <w:rsid w:val="00D87C68"/>
    <w:rsid w:val="00D91B57"/>
    <w:rsid w:val="00D93F3B"/>
    <w:rsid w:val="00D95B67"/>
    <w:rsid w:val="00D964CE"/>
    <w:rsid w:val="00D9741D"/>
    <w:rsid w:val="00DA10F8"/>
    <w:rsid w:val="00DA15ED"/>
    <w:rsid w:val="00DA247A"/>
    <w:rsid w:val="00DA2E1B"/>
    <w:rsid w:val="00DA337C"/>
    <w:rsid w:val="00DA3427"/>
    <w:rsid w:val="00DA5763"/>
    <w:rsid w:val="00DA5C63"/>
    <w:rsid w:val="00DA64C6"/>
    <w:rsid w:val="00DA6805"/>
    <w:rsid w:val="00DA6D88"/>
    <w:rsid w:val="00DA6E83"/>
    <w:rsid w:val="00DA7327"/>
    <w:rsid w:val="00DA7ABA"/>
    <w:rsid w:val="00DB085B"/>
    <w:rsid w:val="00DB1C3E"/>
    <w:rsid w:val="00DB2030"/>
    <w:rsid w:val="00DB4145"/>
    <w:rsid w:val="00DB4608"/>
    <w:rsid w:val="00DB5EDE"/>
    <w:rsid w:val="00DB6A9A"/>
    <w:rsid w:val="00DB6D25"/>
    <w:rsid w:val="00DB75C6"/>
    <w:rsid w:val="00DB7914"/>
    <w:rsid w:val="00DC0A8B"/>
    <w:rsid w:val="00DC1B70"/>
    <w:rsid w:val="00DC2599"/>
    <w:rsid w:val="00DC2746"/>
    <w:rsid w:val="00DC289E"/>
    <w:rsid w:val="00DC49CC"/>
    <w:rsid w:val="00DC4C66"/>
    <w:rsid w:val="00DC58DD"/>
    <w:rsid w:val="00DC662B"/>
    <w:rsid w:val="00DC671C"/>
    <w:rsid w:val="00DC67AE"/>
    <w:rsid w:val="00DC6AE0"/>
    <w:rsid w:val="00DC74D8"/>
    <w:rsid w:val="00DD2482"/>
    <w:rsid w:val="00DD261B"/>
    <w:rsid w:val="00DD3FAE"/>
    <w:rsid w:val="00DD55AA"/>
    <w:rsid w:val="00DD5C2B"/>
    <w:rsid w:val="00DD7C6A"/>
    <w:rsid w:val="00DE05B0"/>
    <w:rsid w:val="00DE13C9"/>
    <w:rsid w:val="00DE16AD"/>
    <w:rsid w:val="00DE589B"/>
    <w:rsid w:val="00DE6A1F"/>
    <w:rsid w:val="00DE6A36"/>
    <w:rsid w:val="00DE7A05"/>
    <w:rsid w:val="00DF2F5B"/>
    <w:rsid w:val="00DF2F7B"/>
    <w:rsid w:val="00DF343C"/>
    <w:rsid w:val="00DF37F3"/>
    <w:rsid w:val="00DF403D"/>
    <w:rsid w:val="00DF5D26"/>
    <w:rsid w:val="00DF6EBB"/>
    <w:rsid w:val="00DF78CF"/>
    <w:rsid w:val="00DF7AD5"/>
    <w:rsid w:val="00E010DA"/>
    <w:rsid w:val="00E0113D"/>
    <w:rsid w:val="00E01FEB"/>
    <w:rsid w:val="00E023C6"/>
    <w:rsid w:val="00E03A80"/>
    <w:rsid w:val="00E041FD"/>
    <w:rsid w:val="00E044C6"/>
    <w:rsid w:val="00E05A64"/>
    <w:rsid w:val="00E05D86"/>
    <w:rsid w:val="00E06636"/>
    <w:rsid w:val="00E0691C"/>
    <w:rsid w:val="00E07173"/>
    <w:rsid w:val="00E11AF4"/>
    <w:rsid w:val="00E12A1E"/>
    <w:rsid w:val="00E13F6E"/>
    <w:rsid w:val="00E16875"/>
    <w:rsid w:val="00E21566"/>
    <w:rsid w:val="00E21F1E"/>
    <w:rsid w:val="00E22A5C"/>
    <w:rsid w:val="00E22D14"/>
    <w:rsid w:val="00E230D8"/>
    <w:rsid w:val="00E24B0C"/>
    <w:rsid w:val="00E25E17"/>
    <w:rsid w:val="00E25E49"/>
    <w:rsid w:val="00E270B5"/>
    <w:rsid w:val="00E30B7A"/>
    <w:rsid w:val="00E30C7D"/>
    <w:rsid w:val="00E33AE2"/>
    <w:rsid w:val="00E34403"/>
    <w:rsid w:val="00E34B65"/>
    <w:rsid w:val="00E34CE1"/>
    <w:rsid w:val="00E34E56"/>
    <w:rsid w:val="00E358BA"/>
    <w:rsid w:val="00E358DD"/>
    <w:rsid w:val="00E42030"/>
    <w:rsid w:val="00E420D1"/>
    <w:rsid w:val="00E43511"/>
    <w:rsid w:val="00E43C29"/>
    <w:rsid w:val="00E44A6C"/>
    <w:rsid w:val="00E4580C"/>
    <w:rsid w:val="00E46B7E"/>
    <w:rsid w:val="00E500F0"/>
    <w:rsid w:val="00E50A78"/>
    <w:rsid w:val="00E51ACC"/>
    <w:rsid w:val="00E51FB3"/>
    <w:rsid w:val="00E52EF2"/>
    <w:rsid w:val="00E53293"/>
    <w:rsid w:val="00E533EB"/>
    <w:rsid w:val="00E53B83"/>
    <w:rsid w:val="00E556D2"/>
    <w:rsid w:val="00E55D11"/>
    <w:rsid w:val="00E57D46"/>
    <w:rsid w:val="00E62108"/>
    <w:rsid w:val="00E62356"/>
    <w:rsid w:val="00E62EA4"/>
    <w:rsid w:val="00E62FCC"/>
    <w:rsid w:val="00E63419"/>
    <w:rsid w:val="00E63ED7"/>
    <w:rsid w:val="00E63F95"/>
    <w:rsid w:val="00E65CEE"/>
    <w:rsid w:val="00E66668"/>
    <w:rsid w:val="00E66C90"/>
    <w:rsid w:val="00E67134"/>
    <w:rsid w:val="00E704D1"/>
    <w:rsid w:val="00E72C12"/>
    <w:rsid w:val="00E736B7"/>
    <w:rsid w:val="00E73C79"/>
    <w:rsid w:val="00E74984"/>
    <w:rsid w:val="00E7780C"/>
    <w:rsid w:val="00E77E24"/>
    <w:rsid w:val="00E77FAC"/>
    <w:rsid w:val="00E801D4"/>
    <w:rsid w:val="00E80C1B"/>
    <w:rsid w:val="00E8228D"/>
    <w:rsid w:val="00E85B57"/>
    <w:rsid w:val="00E85F3D"/>
    <w:rsid w:val="00E87722"/>
    <w:rsid w:val="00E9120B"/>
    <w:rsid w:val="00E92BF6"/>
    <w:rsid w:val="00E945EE"/>
    <w:rsid w:val="00E9460C"/>
    <w:rsid w:val="00E95932"/>
    <w:rsid w:val="00E95A3F"/>
    <w:rsid w:val="00EA074B"/>
    <w:rsid w:val="00EA0D97"/>
    <w:rsid w:val="00EA111A"/>
    <w:rsid w:val="00EA380C"/>
    <w:rsid w:val="00EA3D75"/>
    <w:rsid w:val="00EA6142"/>
    <w:rsid w:val="00EA7066"/>
    <w:rsid w:val="00EA7397"/>
    <w:rsid w:val="00EA7F68"/>
    <w:rsid w:val="00EB36B6"/>
    <w:rsid w:val="00EB50BB"/>
    <w:rsid w:val="00EB5403"/>
    <w:rsid w:val="00EC003B"/>
    <w:rsid w:val="00EC1926"/>
    <w:rsid w:val="00EC2145"/>
    <w:rsid w:val="00EC4E42"/>
    <w:rsid w:val="00EC655E"/>
    <w:rsid w:val="00EC74A4"/>
    <w:rsid w:val="00ED0776"/>
    <w:rsid w:val="00ED4756"/>
    <w:rsid w:val="00ED704B"/>
    <w:rsid w:val="00EE06F0"/>
    <w:rsid w:val="00EE1BDA"/>
    <w:rsid w:val="00EE1F7D"/>
    <w:rsid w:val="00EE2926"/>
    <w:rsid w:val="00EE5551"/>
    <w:rsid w:val="00EE5E54"/>
    <w:rsid w:val="00EE6079"/>
    <w:rsid w:val="00EE6FC3"/>
    <w:rsid w:val="00EE7E9A"/>
    <w:rsid w:val="00EF032C"/>
    <w:rsid w:val="00EF0AAE"/>
    <w:rsid w:val="00EF2EF9"/>
    <w:rsid w:val="00EF3F0A"/>
    <w:rsid w:val="00F00D1A"/>
    <w:rsid w:val="00F011C6"/>
    <w:rsid w:val="00F035D2"/>
    <w:rsid w:val="00F0385F"/>
    <w:rsid w:val="00F04C0E"/>
    <w:rsid w:val="00F123F4"/>
    <w:rsid w:val="00F1371B"/>
    <w:rsid w:val="00F154A9"/>
    <w:rsid w:val="00F15AC6"/>
    <w:rsid w:val="00F15BE1"/>
    <w:rsid w:val="00F160B6"/>
    <w:rsid w:val="00F16336"/>
    <w:rsid w:val="00F165CD"/>
    <w:rsid w:val="00F213B5"/>
    <w:rsid w:val="00F2264C"/>
    <w:rsid w:val="00F228E2"/>
    <w:rsid w:val="00F234C1"/>
    <w:rsid w:val="00F23A3C"/>
    <w:rsid w:val="00F240CE"/>
    <w:rsid w:val="00F24C72"/>
    <w:rsid w:val="00F2685A"/>
    <w:rsid w:val="00F3199C"/>
    <w:rsid w:val="00F32174"/>
    <w:rsid w:val="00F32A3F"/>
    <w:rsid w:val="00F361BB"/>
    <w:rsid w:val="00F36A7D"/>
    <w:rsid w:val="00F36D51"/>
    <w:rsid w:val="00F36E37"/>
    <w:rsid w:val="00F3760C"/>
    <w:rsid w:val="00F37C2E"/>
    <w:rsid w:val="00F37ECB"/>
    <w:rsid w:val="00F41859"/>
    <w:rsid w:val="00F424A5"/>
    <w:rsid w:val="00F441D9"/>
    <w:rsid w:val="00F446F2"/>
    <w:rsid w:val="00F50AC2"/>
    <w:rsid w:val="00F50D4D"/>
    <w:rsid w:val="00F50E64"/>
    <w:rsid w:val="00F51DC4"/>
    <w:rsid w:val="00F53C69"/>
    <w:rsid w:val="00F5412D"/>
    <w:rsid w:val="00F557B2"/>
    <w:rsid w:val="00F57AF7"/>
    <w:rsid w:val="00F57FE8"/>
    <w:rsid w:val="00F60437"/>
    <w:rsid w:val="00F60933"/>
    <w:rsid w:val="00F61AE2"/>
    <w:rsid w:val="00F61CF5"/>
    <w:rsid w:val="00F623C6"/>
    <w:rsid w:val="00F62A21"/>
    <w:rsid w:val="00F63AFD"/>
    <w:rsid w:val="00F64D8A"/>
    <w:rsid w:val="00F64F9B"/>
    <w:rsid w:val="00F6523A"/>
    <w:rsid w:val="00F660E9"/>
    <w:rsid w:val="00F660F3"/>
    <w:rsid w:val="00F6705F"/>
    <w:rsid w:val="00F67A7F"/>
    <w:rsid w:val="00F67C6B"/>
    <w:rsid w:val="00F711F2"/>
    <w:rsid w:val="00F72671"/>
    <w:rsid w:val="00F72955"/>
    <w:rsid w:val="00F731D6"/>
    <w:rsid w:val="00F73471"/>
    <w:rsid w:val="00F758CA"/>
    <w:rsid w:val="00F76F4B"/>
    <w:rsid w:val="00F775D9"/>
    <w:rsid w:val="00F80C9E"/>
    <w:rsid w:val="00F815BE"/>
    <w:rsid w:val="00F82D91"/>
    <w:rsid w:val="00F84392"/>
    <w:rsid w:val="00F848BA"/>
    <w:rsid w:val="00F86D51"/>
    <w:rsid w:val="00F87006"/>
    <w:rsid w:val="00F9005B"/>
    <w:rsid w:val="00F909AE"/>
    <w:rsid w:val="00F90CC9"/>
    <w:rsid w:val="00F90D35"/>
    <w:rsid w:val="00F932A5"/>
    <w:rsid w:val="00F943A8"/>
    <w:rsid w:val="00F95BCC"/>
    <w:rsid w:val="00F9671E"/>
    <w:rsid w:val="00F97CA6"/>
    <w:rsid w:val="00FA015B"/>
    <w:rsid w:val="00FA0EA5"/>
    <w:rsid w:val="00FA1546"/>
    <w:rsid w:val="00FA15E5"/>
    <w:rsid w:val="00FA177A"/>
    <w:rsid w:val="00FA300C"/>
    <w:rsid w:val="00FA362E"/>
    <w:rsid w:val="00FA4317"/>
    <w:rsid w:val="00FA51A4"/>
    <w:rsid w:val="00FA5E52"/>
    <w:rsid w:val="00FA5FB5"/>
    <w:rsid w:val="00FA67A8"/>
    <w:rsid w:val="00FA71A3"/>
    <w:rsid w:val="00FB0D31"/>
    <w:rsid w:val="00FB1363"/>
    <w:rsid w:val="00FB167B"/>
    <w:rsid w:val="00FB1F67"/>
    <w:rsid w:val="00FB251C"/>
    <w:rsid w:val="00FB33F1"/>
    <w:rsid w:val="00FB46A4"/>
    <w:rsid w:val="00FB4D16"/>
    <w:rsid w:val="00FB4E29"/>
    <w:rsid w:val="00FB6B2E"/>
    <w:rsid w:val="00FC01BF"/>
    <w:rsid w:val="00FC1E9F"/>
    <w:rsid w:val="00FC2B8A"/>
    <w:rsid w:val="00FC30F8"/>
    <w:rsid w:val="00FC6CA1"/>
    <w:rsid w:val="00FC7841"/>
    <w:rsid w:val="00FC7E3E"/>
    <w:rsid w:val="00FD07C8"/>
    <w:rsid w:val="00FD14D2"/>
    <w:rsid w:val="00FD223F"/>
    <w:rsid w:val="00FD4E0F"/>
    <w:rsid w:val="00FD4F5A"/>
    <w:rsid w:val="00FD5870"/>
    <w:rsid w:val="00FD695C"/>
    <w:rsid w:val="00FD6D5B"/>
    <w:rsid w:val="00FE1666"/>
    <w:rsid w:val="00FE1AA4"/>
    <w:rsid w:val="00FE2196"/>
    <w:rsid w:val="00FE2889"/>
    <w:rsid w:val="00FE2D10"/>
    <w:rsid w:val="00FE3550"/>
    <w:rsid w:val="00FE494F"/>
    <w:rsid w:val="00FE5273"/>
    <w:rsid w:val="00FE7647"/>
    <w:rsid w:val="00FE7982"/>
    <w:rsid w:val="00FF03FC"/>
    <w:rsid w:val="00FF0E67"/>
    <w:rsid w:val="00FF2821"/>
    <w:rsid w:val="00FF54B8"/>
    <w:rsid w:val="00FF69E6"/>
    <w:rsid w:val="012D758D"/>
    <w:rsid w:val="013B1094"/>
    <w:rsid w:val="014E34A5"/>
    <w:rsid w:val="016D0170"/>
    <w:rsid w:val="01992595"/>
    <w:rsid w:val="01CA796D"/>
    <w:rsid w:val="01FD58CF"/>
    <w:rsid w:val="020C5E3D"/>
    <w:rsid w:val="023B77EE"/>
    <w:rsid w:val="023D13AA"/>
    <w:rsid w:val="0242433A"/>
    <w:rsid w:val="0244193C"/>
    <w:rsid w:val="024A30FF"/>
    <w:rsid w:val="025C2A12"/>
    <w:rsid w:val="0271368F"/>
    <w:rsid w:val="02A11CEA"/>
    <w:rsid w:val="02A13C47"/>
    <w:rsid w:val="02BD5D0D"/>
    <w:rsid w:val="02E8310E"/>
    <w:rsid w:val="02F22208"/>
    <w:rsid w:val="02FF629B"/>
    <w:rsid w:val="03091512"/>
    <w:rsid w:val="03165372"/>
    <w:rsid w:val="032259F6"/>
    <w:rsid w:val="03234C3C"/>
    <w:rsid w:val="035066BD"/>
    <w:rsid w:val="0352260A"/>
    <w:rsid w:val="03A82D03"/>
    <w:rsid w:val="03AB4B4A"/>
    <w:rsid w:val="03BE0C45"/>
    <w:rsid w:val="03D20B02"/>
    <w:rsid w:val="03D70433"/>
    <w:rsid w:val="03DC2EE2"/>
    <w:rsid w:val="03F5117A"/>
    <w:rsid w:val="03F800D1"/>
    <w:rsid w:val="040B0C51"/>
    <w:rsid w:val="040E0CA8"/>
    <w:rsid w:val="040F4329"/>
    <w:rsid w:val="041F37AD"/>
    <w:rsid w:val="04223055"/>
    <w:rsid w:val="04272D60"/>
    <w:rsid w:val="04314987"/>
    <w:rsid w:val="044835D1"/>
    <w:rsid w:val="046E63CE"/>
    <w:rsid w:val="0488230B"/>
    <w:rsid w:val="048F3E40"/>
    <w:rsid w:val="04A15E7D"/>
    <w:rsid w:val="04AC64D8"/>
    <w:rsid w:val="04B16B95"/>
    <w:rsid w:val="04BE0A6E"/>
    <w:rsid w:val="04C10EC7"/>
    <w:rsid w:val="04D819D7"/>
    <w:rsid w:val="04EA2B35"/>
    <w:rsid w:val="05202849"/>
    <w:rsid w:val="052B5A8C"/>
    <w:rsid w:val="0547685A"/>
    <w:rsid w:val="054B0F73"/>
    <w:rsid w:val="055E4BD2"/>
    <w:rsid w:val="056F2F12"/>
    <w:rsid w:val="057C542E"/>
    <w:rsid w:val="05974CFF"/>
    <w:rsid w:val="05A2393F"/>
    <w:rsid w:val="05F63D78"/>
    <w:rsid w:val="05FC3BE0"/>
    <w:rsid w:val="060F79C1"/>
    <w:rsid w:val="06344844"/>
    <w:rsid w:val="06390411"/>
    <w:rsid w:val="068B0698"/>
    <w:rsid w:val="068B33E0"/>
    <w:rsid w:val="06B35353"/>
    <w:rsid w:val="06B45206"/>
    <w:rsid w:val="06F750FD"/>
    <w:rsid w:val="071D753B"/>
    <w:rsid w:val="073C7F49"/>
    <w:rsid w:val="074648F1"/>
    <w:rsid w:val="07697DC0"/>
    <w:rsid w:val="078B7394"/>
    <w:rsid w:val="07A16CFB"/>
    <w:rsid w:val="07C12668"/>
    <w:rsid w:val="07EF7893"/>
    <w:rsid w:val="07F52774"/>
    <w:rsid w:val="07F901A3"/>
    <w:rsid w:val="07FD357C"/>
    <w:rsid w:val="082B609E"/>
    <w:rsid w:val="084D5DAC"/>
    <w:rsid w:val="08716A1E"/>
    <w:rsid w:val="088D6616"/>
    <w:rsid w:val="08B606D1"/>
    <w:rsid w:val="08EA15A8"/>
    <w:rsid w:val="08F5133F"/>
    <w:rsid w:val="090B34E3"/>
    <w:rsid w:val="09423AA8"/>
    <w:rsid w:val="0955344F"/>
    <w:rsid w:val="095E6C81"/>
    <w:rsid w:val="09781919"/>
    <w:rsid w:val="099224C2"/>
    <w:rsid w:val="09A232B8"/>
    <w:rsid w:val="09B225E9"/>
    <w:rsid w:val="09C96F5B"/>
    <w:rsid w:val="09E23546"/>
    <w:rsid w:val="09E8745D"/>
    <w:rsid w:val="09F04A5A"/>
    <w:rsid w:val="09FE0EA0"/>
    <w:rsid w:val="0A2168AE"/>
    <w:rsid w:val="0A470CEC"/>
    <w:rsid w:val="0A4914EB"/>
    <w:rsid w:val="0A4F2875"/>
    <w:rsid w:val="0A563518"/>
    <w:rsid w:val="0A5B69A0"/>
    <w:rsid w:val="0AA75570"/>
    <w:rsid w:val="0AAA0254"/>
    <w:rsid w:val="0ACA7526"/>
    <w:rsid w:val="0ACF1ECA"/>
    <w:rsid w:val="0AF26CE0"/>
    <w:rsid w:val="0B351DEA"/>
    <w:rsid w:val="0B4C4D17"/>
    <w:rsid w:val="0B822F42"/>
    <w:rsid w:val="0B8251F1"/>
    <w:rsid w:val="0B883877"/>
    <w:rsid w:val="0BBA534B"/>
    <w:rsid w:val="0BC156F4"/>
    <w:rsid w:val="0C0C6DF5"/>
    <w:rsid w:val="0C483C80"/>
    <w:rsid w:val="0C606C04"/>
    <w:rsid w:val="0C6C526D"/>
    <w:rsid w:val="0CA642C1"/>
    <w:rsid w:val="0CC97B1B"/>
    <w:rsid w:val="0CED0227"/>
    <w:rsid w:val="0CF827D4"/>
    <w:rsid w:val="0D0578EB"/>
    <w:rsid w:val="0D1F0495"/>
    <w:rsid w:val="0D2039E4"/>
    <w:rsid w:val="0D2D522C"/>
    <w:rsid w:val="0D301983"/>
    <w:rsid w:val="0D3944FD"/>
    <w:rsid w:val="0D3A6AC1"/>
    <w:rsid w:val="0D3F614D"/>
    <w:rsid w:val="0D473F8B"/>
    <w:rsid w:val="0D481705"/>
    <w:rsid w:val="0D6C5983"/>
    <w:rsid w:val="0D7B7D00"/>
    <w:rsid w:val="0D8105AC"/>
    <w:rsid w:val="0D980D2C"/>
    <w:rsid w:val="0DC44DE6"/>
    <w:rsid w:val="0DDA1910"/>
    <w:rsid w:val="0DEA7E84"/>
    <w:rsid w:val="0DFA2AA4"/>
    <w:rsid w:val="0E03751C"/>
    <w:rsid w:val="0E217A9A"/>
    <w:rsid w:val="0E6B0815"/>
    <w:rsid w:val="0E797467"/>
    <w:rsid w:val="0E8507D6"/>
    <w:rsid w:val="0E891C66"/>
    <w:rsid w:val="0E9D2728"/>
    <w:rsid w:val="0EB94CA8"/>
    <w:rsid w:val="0EDE08A0"/>
    <w:rsid w:val="0EF45DFE"/>
    <w:rsid w:val="0F0260AC"/>
    <w:rsid w:val="0F1C38E5"/>
    <w:rsid w:val="0F271FE7"/>
    <w:rsid w:val="0F3E57A2"/>
    <w:rsid w:val="0F4A40CB"/>
    <w:rsid w:val="0F556C8C"/>
    <w:rsid w:val="0F5A7A83"/>
    <w:rsid w:val="0F6674CB"/>
    <w:rsid w:val="0F6B1CB6"/>
    <w:rsid w:val="0F945943"/>
    <w:rsid w:val="0FBA4EA3"/>
    <w:rsid w:val="0FD77389"/>
    <w:rsid w:val="0FF066D3"/>
    <w:rsid w:val="0FF56D7F"/>
    <w:rsid w:val="0FF94171"/>
    <w:rsid w:val="102A10D7"/>
    <w:rsid w:val="1046794D"/>
    <w:rsid w:val="10474D19"/>
    <w:rsid w:val="10534754"/>
    <w:rsid w:val="10624D6F"/>
    <w:rsid w:val="10B04B37"/>
    <w:rsid w:val="10E43255"/>
    <w:rsid w:val="10EB6983"/>
    <w:rsid w:val="11044578"/>
    <w:rsid w:val="11707F80"/>
    <w:rsid w:val="11784534"/>
    <w:rsid w:val="11AC2452"/>
    <w:rsid w:val="11D25B7C"/>
    <w:rsid w:val="11E257DF"/>
    <w:rsid w:val="11EC2452"/>
    <w:rsid w:val="11EF7418"/>
    <w:rsid w:val="121571D8"/>
    <w:rsid w:val="12303704"/>
    <w:rsid w:val="123F490C"/>
    <w:rsid w:val="12482D14"/>
    <w:rsid w:val="12506899"/>
    <w:rsid w:val="1261057A"/>
    <w:rsid w:val="127A53DE"/>
    <w:rsid w:val="1285376F"/>
    <w:rsid w:val="12A6731A"/>
    <w:rsid w:val="12CE4B07"/>
    <w:rsid w:val="132E0705"/>
    <w:rsid w:val="13347FBA"/>
    <w:rsid w:val="13500E62"/>
    <w:rsid w:val="135D358A"/>
    <w:rsid w:val="13671B64"/>
    <w:rsid w:val="136B26B9"/>
    <w:rsid w:val="13966E30"/>
    <w:rsid w:val="139E1CBE"/>
    <w:rsid w:val="13A07702"/>
    <w:rsid w:val="13BB39AC"/>
    <w:rsid w:val="13D358C6"/>
    <w:rsid w:val="13DD3E23"/>
    <w:rsid w:val="13EC6B00"/>
    <w:rsid w:val="13EE4CF5"/>
    <w:rsid w:val="13FB41D0"/>
    <w:rsid w:val="14000A5D"/>
    <w:rsid w:val="14152BEA"/>
    <w:rsid w:val="141F4F78"/>
    <w:rsid w:val="14214815"/>
    <w:rsid w:val="14394709"/>
    <w:rsid w:val="14747A97"/>
    <w:rsid w:val="148B0641"/>
    <w:rsid w:val="14C10B1B"/>
    <w:rsid w:val="14D45A59"/>
    <w:rsid w:val="1504688B"/>
    <w:rsid w:val="152642B3"/>
    <w:rsid w:val="15270935"/>
    <w:rsid w:val="154767F6"/>
    <w:rsid w:val="1554054E"/>
    <w:rsid w:val="155838CE"/>
    <w:rsid w:val="15595ABE"/>
    <w:rsid w:val="155C2BA1"/>
    <w:rsid w:val="15732408"/>
    <w:rsid w:val="15966E67"/>
    <w:rsid w:val="15DC196A"/>
    <w:rsid w:val="15E1323B"/>
    <w:rsid w:val="15E3095B"/>
    <w:rsid w:val="15F97459"/>
    <w:rsid w:val="16053F08"/>
    <w:rsid w:val="16621D1B"/>
    <w:rsid w:val="167D13C3"/>
    <w:rsid w:val="16A90DEE"/>
    <w:rsid w:val="16DC19C5"/>
    <w:rsid w:val="171A2418"/>
    <w:rsid w:val="172F50EE"/>
    <w:rsid w:val="174A031C"/>
    <w:rsid w:val="176358D7"/>
    <w:rsid w:val="176A35B7"/>
    <w:rsid w:val="178970A3"/>
    <w:rsid w:val="17920939"/>
    <w:rsid w:val="17A751AF"/>
    <w:rsid w:val="17E92C98"/>
    <w:rsid w:val="17FE1EE3"/>
    <w:rsid w:val="180E0CE0"/>
    <w:rsid w:val="18105ABE"/>
    <w:rsid w:val="1854062E"/>
    <w:rsid w:val="186C6317"/>
    <w:rsid w:val="18966EE2"/>
    <w:rsid w:val="189D42EF"/>
    <w:rsid w:val="18BE00A7"/>
    <w:rsid w:val="18CA021B"/>
    <w:rsid w:val="190628F6"/>
    <w:rsid w:val="190C23A4"/>
    <w:rsid w:val="19191E6E"/>
    <w:rsid w:val="19291E0E"/>
    <w:rsid w:val="194B2CC1"/>
    <w:rsid w:val="195652C0"/>
    <w:rsid w:val="196729A3"/>
    <w:rsid w:val="1972493F"/>
    <w:rsid w:val="197D1242"/>
    <w:rsid w:val="19922A40"/>
    <w:rsid w:val="19A10B40"/>
    <w:rsid w:val="19F04597"/>
    <w:rsid w:val="1A0119B8"/>
    <w:rsid w:val="1A19705E"/>
    <w:rsid w:val="1A1F47EB"/>
    <w:rsid w:val="1A22789A"/>
    <w:rsid w:val="1A322187"/>
    <w:rsid w:val="1A35310B"/>
    <w:rsid w:val="1A422421"/>
    <w:rsid w:val="1A43400D"/>
    <w:rsid w:val="1AB75C63"/>
    <w:rsid w:val="1AC321AE"/>
    <w:rsid w:val="1AC87F97"/>
    <w:rsid w:val="1AF253C2"/>
    <w:rsid w:val="1AF27697"/>
    <w:rsid w:val="1B2C6344"/>
    <w:rsid w:val="1B431834"/>
    <w:rsid w:val="1B5169A5"/>
    <w:rsid w:val="1BBC10E1"/>
    <w:rsid w:val="1BDF0F49"/>
    <w:rsid w:val="1C0702F5"/>
    <w:rsid w:val="1C0D4016"/>
    <w:rsid w:val="1C0E42F7"/>
    <w:rsid w:val="1C166413"/>
    <w:rsid w:val="1C3949EC"/>
    <w:rsid w:val="1C551948"/>
    <w:rsid w:val="1C557184"/>
    <w:rsid w:val="1C5650DE"/>
    <w:rsid w:val="1C703033"/>
    <w:rsid w:val="1C7B640B"/>
    <w:rsid w:val="1C8A6532"/>
    <w:rsid w:val="1C8A6ECD"/>
    <w:rsid w:val="1C9564B4"/>
    <w:rsid w:val="1C990E60"/>
    <w:rsid w:val="1CAB04AD"/>
    <w:rsid w:val="1CB61095"/>
    <w:rsid w:val="1CBA6628"/>
    <w:rsid w:val="1D405BA4"/>
    <w:rsid w:val="1D40752B"/>
    <w:rsid w:val="1D690F93"/>
    <w:rsid w:val="1D6B3F53"/>
    <w:rsid w:val="1DAD5CC1"/>
    <w:rsid w:val="1DB033C2"/>
    <w:rsid w:val="1DCC50FE"/>
    <w:rsid w:val="1DED0655"/>
    <w:rsid w:val="1E1626AA"/>
    <w:rsid w:val="1E3300DC"/>
    <w:rsid w:val="1E36015D"/>
    <w:rsid w:val="1E493B2C"/>
    <w:rsid w:val="1E6E02FD"/>
    <w:rsid w:val="1E830525"/>
    <w:rsid w:val="1EA42C19"/>
    <w:rsid w:val="1EAC3989"/>
    <w:rsid w:val="1ED82A04"/>
    <w:rsid w:val="1EDA7524"/>
    <w:rsid w:val="1F390CCB"/>
    <w:rsid w:val="1F535FF1"/>
    <w:rsid w:val="1F7B3932"/>
    <w:rsid w:val="1F7E625A"/>
    <w:rsid w:val="1F8063F7"/>
    <w:rsid w:val="1F8D7EC0"/>
    <w:rsid w:val="1F930BAA"/>
    <w:rsid w:val="1FA53266"/>
    <w:rsid w:val="1FB0454A"/>
    <w:rsid w:val="1FB73B17"/>
    <w:rsid w:val="1FBB6341"/>
    <w:rsid w:val="1FD44B00"/>
    <w:rsid w:val="1FD674F0"/>
    <w:rsid w:val="200C63A3"/>
    <w:rsid w:val="204B7060"/>
    <w:rsid w:val="20525F14"/>
    <w:rsid w:val="20694475"/>
    <w:rsid w:val="20753D4C"/>
    <w:rsid w:val="20835ACF"/>
    <w:rsid w:val="208D66E1"/>
    <w:rsid w:val="20D12CA1"/>
    <w:rsid w:val="20E1340F"/>
    <w:rsid w:val="213117B8"/>
    <w:rsid w:val="21742FA2"/>
    <w:rsid w:val="21801807"/>
    <w:rsid w:val="21B22C5D"/>
    <w:rsid w:val="21DF74B0"/>
    <w:rsid w:val="21EC2D46"/>
    <w:rsid w:val="21FF67E8"/>
    <w:rsid w:val="2206024D"/>
    <w:rsid w:val="22184623"/>
    <w:rsid w:val="22262579"/>
    <w:rsid w:val="224C3750"/>
    <w:rsid w:val="224C4EAF"/>
    <w:rsid w:val="22616857"/>
    <w:rsid w:val="2264440E"/>
    <w:rsid w:val="22773075"/>
    <w:rsid w:val="227E5224"/>
    <w:rsid w:val="22924E10"/>
    <w:rsid w:val="22E31620"/>
    <w:rsid w:val="23257841"/>
    <w:rsid w:val="23596007"/>
    <w:rsid w:val="23A05713"/>
    <w:rsid w:val="23AC193B"/>
    <w:rsid w:val="23E90C49"/>
    <w:rsid w:val="23FC489C"/>
    <w:rsid w:val="24013D39"/>
    <w:rsid w:val="242B3FE6"/>
    <w:rsid w:val="24343904"/>
    <w:rsid w:val="24482291"/>
    <w:rsid w:val="24582372"/>
    <w:rsid w:val="246D779C"/>
    <w:rsid w:val="24790026"/>
    <w:rsid w:val="249C26BA"/>
    <w:rsid w:val="24A0113E"/>
    <w:rsid w:val="24A259E8"/>
    <w:rsid w:val="24C032B1"/>
    <w:rsid w:val="24CB286B"/>
    <w:rsid w:val="24E647EC"/>
    <w:rsid w:val="24F77A2E"/>
    <w:rsid w:val="251074CB"/>
    <w:rsid w:val="251343C1"/>
    <w:rsid w:val="252E4B7D"/>
    <w:rsid w:val="253568DE"/>
    <w:rsid w:val="253B16EF"/>
    <w:rsid w:val="254B5ED3"/>
    <w:rsid w:val="25501FBD"/>
    <w:rsid w:val="25593295"/>
    <w:rsid w:val="255BBA75"/>
    <w:rsid w:val="255F5A6B"/>
    <w:rsid w:val="256E6709"/>
    <w:rsid w:val="25814FEF"/>
    <w:rsid w:val="25A97ABE"/>
    <w:rsid w:val="25AF725D"/>
    <w:rsid w:val="25C6091B"/>
    <w:rsid w:val="25F26ABA"/>
    <w:rsid w:val="260D0786"/>
    <w:rsid w:val="2619640A"/>
    <w:rsid w:val="26234433"/>
    <w:rsid w:val="262E3BE8"/>
    <w:rsid w:val="263A470B"/>
    <w:rsid w:val="263D4F15"/>
    <w:rsid w:val="266707EE"/>
    <w:rsid w:val="266C1F97"/>
    <w:rsid w:val="276826AD"/>
    <w:rsid w:val="276E08C0"/>
    <w:rsid w:val="27C128C8"/>
    <w:rsid w:val="27C634CD"/>
    <w:rsid w:val="27CD08D9"/>
    <w:rsid w:val="28040933"/>
    <w:rsid w:val="285343B6"/>
    <w:rsid w:val="28624CCA"/>
    <w:rsid w:val="28766ED8"/>
    <w:rsid w:val="28CB0178"/>
    <w:rsid w:val="28E30356"/>
    <w:rsid w:val="29085DC9"/>
    <w:rsid w:val="291B1E9D"/>
    <w:rsid w:val="2921110F"/>
    <w:rsid w:val="295F2C1A"/>
    <w:rsid w:val="2995393D"/>
    <w:rsid w:val="29982BC0"/>
    <w:rsid w:val="29A37982"/>
    <w:rsid w:val="29A87481"/>
    <w:rsid w:val="29D777BA"/>
    <w:rsid w:val="29F51563"/>
    <w:rsid w:val="2A320EF2"/>
    <w:rsid w:val="2A4B068C"/>
    <w:rsid w:val="2A687324"/>
    <w:rsid w:val="2A6F6CAF"/>
    <w:rsid w:val="2A722E12"/>
    <w:rsid w:val="2A7C60B7"/>
    <w:rsid w:val="2AD50F91"/>
    <w:rsid w:val="2AFA2707"/>
    <w:rsid w:val="2B01157F"/>
    <w:rsid w:val="2B0B1BFF"/>
    <w:rsid w:val="2B5E0B35"/>
    <w:rsid w:val="2BB15732"/>
    <w:rsid w:val="2BCD5A93"/>
    <w:rsid w:val="2BDA79D7"/>
    <w:rsid w:val="2C044B9C"/>
    <w:rsid w:val="2C0456AD"/>
    <w:rsid w:val="2C087720"/>
    <w:rsid w:val="2C0B66D0"/>
    <w:rsid w:val="2C0D712F"/>
    <w:rsid w:val="2C18319F"/>
    <w:rsid w:val="2C250E0F"/>
    <w:rsid w:val="2C4D255A"/>
    <w:rsid w:val="2C5D7270"/>
    <w:rsid w:val="2C6D2EF1"/>
    <w:rsid w:val="2CFE13A8"/>
    <w:rsid w:val="2D3F6B2A"/>
    <w:rsid w:val="2D772DEE"/>
    <w:rsid w:val="2D836AAB"/>
    <w:rsid w:val="2D9850F7"/>
    <w:rsid w:val="2E1909AE"/>
    <w:rsid w:val="2E1911CC"/>
    <w:rsid w:val="2E3D56EB"/>
    <w:rsid w:val="2E4F3A14"/>
    <w:rsid w:val="2E7457D9"/>
    <w:rsid w:val="2E8E016E"/>
    <w:rsid w:val="2E9F44E7"/>
    <w:rsid w:val="2EC335CB"/>
    <w:rsid w:val="2EDC407B"/>
    <w:rsid w:val="2EE909A1"/>
    <w:rsid w:val="2F1659DF"/>
    <w:rsid w:val="2F372A0B"/>
    <w:rsid w:val="2F3960C9"/>
    <w:rsid w:val="2F444A52"/>
    <w:rsid w:val="2F6072CF"/>
    <w:rsid w:val="2F8359D6"/>
    <w:rsid w:val="2F87052F"/>
    <w:rsid w:val="2F912805"/>
    <w:rsid w:val="2F9E2617"/>
    <w:rsid w:val="2FB177CB"/>
    <w:rsid w:val="2FBE3B03"/>
    <w:rsid w:val="30134E0C"/>
    <w:rsid w:val="309B22C8"/>
    <w:rsid w:val="30E826CD"/>
    <w:rsid w:val="30F53844"/>
    <w:rsid w:val="310D2A9D"/>
    <w:rsid w:val="31160C5E"/>
    <w:rsid w:val="3122524E"/>
    <w:rsid w:val="31233B4E"/>
    <w:rsid w:val="313A0FA0"/>
    <w:rsid w:val="319A249C"/>
    <w:rsid w:val="319C7BA0"/>
    <w:rsid w:val="31D7094C"/>
    <w:rsid w:val="324028B5"/>
    <w:rsid w:val="32491A0D"/>
    <w:rsid w:val="326203B9"/>
    <w:rsid w:val="326406E1"/>
    <w:rsid w:val="326B5445"/>
    <w:rsid w:val="326B63C7"/>
    <w:rsid w:val="326F3E4B"/>
    <w:rsid w:val="32A852AA"/>
    <w:rsid w:val="32C25E54"/>
    <w:rsid w:val="32D04257"/>
    <w:rsid w:val="32DD584A"/>
    <w:rsid w:val="32EC1A60"/>
    <w:rsid w:val="32FE1624"/>
    <w:rsid w:val="334122CA"/>
    <w:rsid w:val="334B4AB3"/>
    <w:rsid w:val="33521EC0"/>
    <w:rsid w:val="335321C4"/>
    <w:rsid w:val="33741577"/>
    <w:rsid w:val="33841058"/>
    <w:rsid w:val="33C70E56"/>
    <w:rsid w:val="33E27869"/>
    <w:rsid w:val="340145E2"/>
    <w:rsid w:val="34217095"/>
    <w:rsid w:val="342A20FC"/>
    <w:rsid w:val="3431732F"/>
    <w:rsid w:val="343E02CF"/>
    <w:rsid w:val="34823BB5"/>
    <w:rsid w:val="34845AB5"/>
    <w:rsid w:val="34852C1F"/>
    <w:rsid w:val="3491074D"/>
    <w:rsid w:val="349A5A43"/>
    <w:rsid w:val="34B0495F"/>
    <w:rsid w:val="34CD517D"/>
    <w:rsid w:val="34CE41E9"/>
    <w:rsid w:val="34D146E3"/>
    <w:rsid w:val="35155921"/>
    <w:rsid w:val="351B2F9B"/>
    <w:rsid w:val="351E5CB3"/>
    <w:rsid w:val="352210AD"/>
    <w:rsid w:val="352C6014"/>
    <w:rsid w:val="354133CF"/>
    <w:rsid w:val="355726B7"/>
    <w:rsid w:val="35607A21"/>
    <w:rsid w:val="356E4F26"/>
    <w:rsid w:val="35AE7B20"/>
    <w:rsid w:val="35B46E59"/>
    <w:rsid w:val="35E94E81"/>
    <w:rsid w:val="364156E9"/>
    <w:rsid w:val="365B5CB6"/>
    <w:rsid w:val="36635430"/>
    <w:rsid w:val="36645B4A"/>
    <w:rsid w:val="367219CB"/>
    <w:rsid w:val="36813529"/>
    <w:rsid w:val="36C525D3"/>
    <w:rsid w:val="36C91572"/>
    <w:rsid w:val="3704051D"/>
    <w:rsid w:val="37337C48"/>
    <w:rsid w:val="37491AC0"/>
    <w:rsid w:val="377C1015"/>
    <w:rsid w:val="378F7F44"/>
    <w:rsid w:val="37CB08CC"/>
    <w:rsid w:val="37D100BA"/>
    <w:rsid w:val="37E2107E"/>
    <w:rsid w:val="385663F8"/>
    <w:rsid w:val="385B0683"/>
    <w:rsid w:val="38664D5F"/>
    <w:rsid w:val="38881618"/>
    <w:rsid w:val="3888255E"/>
    <w:rsid w:val="389C366B"/>
    <w:rsid w:val="38A64880"/>
    <w:rsid w:val="38C47483"/>
    <w:rsid w:val="38CC1221"/>
    <w:rsid w:val="38DD5F3C"/>
    <w:rsid w:val="38F60882"/>
    <w:rsid w:val="39093C9F"/>
    <w:rsid w:val="39213AC1"/>
    <w:rsid w:val="392D60F0"/>
    <w:rsid w:val="39340367"/>
    <w:rsid w:val="39596D81"/>
    <w:rsid w:val="397F4F63"/>
    <w:rsid w:val="39801D12"/>
    <w:rsid w:val="398E5220"/>
    <w:rsid w:val="39A4070A"/>
    <w:rsid w:val="39A724D4"/>
    <w:rsid w:val="39BC7E3C"/>
    <w:rsid w:val="39F93848"/>
    <w:rsid w:val="39FC7F71"/>
    <w:rsid w:val="3A0017B2"/>
    <w:rsid w:val="3A2A75FA"/>
    <w:rsid w:val="3A386910"/>
    <w:rsid w:val="3A675260"/>
    <w:rsid w:val="3A6E3092"/>
    <w:rsid w:val="3A885013"/>
    <w:rsid w:val="3A914C2B"/>
    <w:rsid w:val="3A947029"/>
    <w:rsid w:val="3A9D454C"/>
    <w:rsid w:val="3AC7366F"/>
    <w:rsid w:val="3AE8584A"/>
    <w:rsid w:val="3AFC3959"/>
    <w:rsid w:val="3B056063"/>
    <w:rsid w:val="3B061113"/>
    <w:rsid w:val="3B093128"/>
    <w:rsid w:val="3B486909"/>
    <w:rsid w:val="3B4955FA"/>
    <w:rsid w:val="3B4976B9"/>
    <w:rsid w:val="3B4F775C"/>
    <w:rsid w:val="3B57575B"/>
    <w:rsid w:val="3B5D209F"/>
    <w:rsid w:val="3B600E15"/>
    <w:rsid w:val="3B63693A"/>
    <w:rsid w:val="3BB106FB"/>
    <w:rsid w:val="3BE05EEE"/>
    <w:rsid w:val="3BFE407D"/>
    <w:rsid w:val="3C263F3D"/>
    <w:rsid w:val="3C465B62"/>
    <w:rsid w:val="3C732642"/>
    <w:rsid w:val="3CEC7117"/>
    <w:rsid w:val="3D1245A7"/>
    <w:rsid w:val="3D176AE4"/>
    <w:rsid w:val="3D43308F"/>
    <w:rsid w:val="3D4D3739"/>
    <w:rsid w:val="3D714CC5"/>
    <w:rsid w:val="3D882B77"/>
    <w:rsid w:val="3D891605"/>
    <w:rsid w:val="3D983640"/>
    <w:rsid w:val="3DC52364"/>
    <w:rsid w:val="3DD65E81"/>
    <w:rsid w:val="3DE35197"/>
    <w:rsid w:val="3DF31CCE"/>
    <w:rsid w:val="3E1047E6"/>
    <w:rsid w:val="3E1E2E8A"/>
    <w:rsid w:val="3E3100CE"/>
    <w:rsid w:val="3E356219"/>
    <w:rsid w:val="3E3937FC"/>
    <w:rsid w:val="3E457CA1"/>
    <w:rsid w:val="3E60F2E5"/>
    <w:rsid w:val="3E6F6387"/>
    <w:rsid w:val="3E7E72B7"/>
    <w:rsid w:val="3E955D1A"/>
    <w:rsid w:val="3E9863A4"/>
    <w:rsid w:val="3EB34BC7"/>
    <w:rsid w:val="3EB676BB"/>
    <w:rsid w:val="3EBC38D5"/>
    <w:rsid w:val="3EBD1A0F"/>
    <w:rsid w:val="3ECB3B6F"/>
    <w:rsid w:val="3EDC3591"/>
    <w:rsid w:val="3EE21596"/>
    <w:rsid w:val="3F5565EF"/>
    <w:rsid w:val="3F69544C"/>
    <w:rsid w:val="3F8061DF"/>
    <w:rsid w:val="3F923BD9"/>
    <w:rsid w:val="3F941FE4"/>
    <w:rsid w:val="3FAF6F02"/>
    <w:rsid w:val="3FC619E7"/>
    <w:rsid w:val="3FD033F1"/>
    <w:rsid w:val="3FF7137F"/>
    <w:rsid w:val="40023343"/>
    <w:rsid w:val="40060875"/>
    <w:rsid w:val="401C3B3D"/>
    <w:rsid w:val="401F6CC0"/>
    <w:rsid w:val="406340E0"/>
    <w:rsid w:val="40694628"/>
    <w:rsid w:val="406F6DCC"/>
    <w:rsid w:val="40EA04C6"/>
    <w:rsid w:val="40F130F6"/>
    <w:rsid w:val="40F87BC7"/>
    <w:rsid w:val="41153D55"/>
    <w:rsid w:val="41446E23"/>
    <w:rsid w:val="4182128D"/>
    <w:rsid w:val="41AD338F"/>
    <w:rsid w:val="41C85BD0"/>
    <w:rsid w:val="41DF6B7E"/>
    <w:rsid w:val="41F959A5"/>
    <w:rsid w:val="421708A5"/>
    <w:rsid w:val="42274E97"/>
    <w:rsid w:val="423F326D"/>
    <w:rsid w:val="42482BA4"/>
    <w:rsid w:val="42543600"/>
    <w:rsid w:val="42554D41"/>
    <w:rsid w:val="42602A72"/>
    <w:rsid w:val="427860CF"/>
    <w:rsid w:val="427E7AA4"/>
    <w:rsid w:val="42C64690"/>
    <w:rsid w:val="42CA1E20"/>
    <w:rsid w:val="42D75746"/>
    <w:rsid w:val="42E96A12"/>
    <w:rsid w:val="42F21FE1"/>
    <w:rsid w:val="430825A5"/>
    <w:rsid w:val="43766253"/>
    <w:rsid w:val="43872EFF"/>
    <w:rsid w:val="438D4997"/>
    <w:rsid w:val="43A34536"/>
    <w:rsid w:val="43B20417"/>
    <w:rsid w:val="43C06EF0"/>
    <w:rsid w:val="43C545F3"/>
    <w:rsid w:val="44096597"/>
    <w:rsid w:val="440D62A6"/>
    <w:rsid w:val="44391268"/>
    <w:rsid w:val="443C56B8"/>
    <w:rsid w:val="443E017E"/>
    <w:rsid w:val="448C1D82"/>
    <w:rsid w:val="450B6E5E"/>
    <w:rsid w:val="45413CC5"/>
    <w:rsid w:val="45454DB4"/>
    <w:rsid w:val="45913135"/>
    <w:rsid w:val="459305A7"/>
    <w:rsid w:val="462C0354"/>
    <w:rsid w:val="462E18D0"/>
    <w:rsid w:val="46624F6F"/>
    <w:rsid w:val="467067C1"/>
    <w:rsid w:val="468034B7"/>
    <w:rsid w:val="46896DBA"/>
    <w:rsid w:val="46DE70D4"/>
    <w:rsid w:val="46E168AC"/>
    <w:rsid w:val="46F033D1"/>
    <w:rsid w:val="46F87C7E"/>
    <w:rsid w:val="471C42C3"/>
    <w:rsid w:val="47436559"/>
    <w:rsid w:val="47977807"/>
    <w:rsid w:val="47981D85"/>
    <w:rsid w:val="47A1186B"/>
    <w:rsid w:val="47C15A1D"/>
    <w:rsid w:val="47C34744"/>
    <w:rsid w:val="47EF4992"/>
    <w:rsid w:val="47F61F86"/>
    <w:rsid w:val="48014374"/>
    <w:rsid w:val="48066E48"/>
    <w:rsid w:val="48155142"/>
    <w:rsid w:val="482F577C"/>
    <w:rsid w:val="484215E7"/>
    <w:rsid w:val="48550BB5"/>
    <w:rsid w:val="490D06A1"/>
    <w:rsid w:val="4928221E"/>
    <w:rsid w:val="492A58A0"/>
    <w:rsid w:val="494E2515"/>
    <w:rsid w:val="494E3ECE"/>
    <w:rsid w:val="49506E6D"/>
    <w:rsid w:val="497D5534"/>
    <w:rsid w:val="49A46B0D"/>
    <w:rsid w:val="49D21F85"/>
    <w:rsid w:val="49E95DD2"/>
    <w:rsid w:val="4A07099C"/>
    <w:rsid w:val="4A0D2F51"/>
    <w:rsid w:val="4A225EE6"/>
    <w:rsid w:val="4A2A08E4"/>
    <w:rsid w:val="4A3600D0"/>
    <w:rsid w:val="4A573287"/>
    <w:rsid w:val="4A57455A"/>
    <w:rsid w:val="4A581A7C"/>
    <w:rsid w:val="4A9329E8"/>
    <w:rsid w:val="4A951B69"/>
    <w:rsid w:val="4AB172FF"/>
    <w:rsid w:val="4ABC3A10"/>
    <w:rsid w:val="4AD90BD5"/>
    <w:rsid w:val="4B1D0302"/>
    <w:rsid w:val="4B21665D"/>
    <w:rsid w:val="4B29095D"/>
    <w:rsid w:val="4B403E05"/>
    <w:rsid w:val="4B416003"/>
    <w:rsid w:val="4B475E8E"/>
    <w:rsid w:val="4B4967DF"/>
    <w:rsid w:val="4B5E7B32"/>
    <w:rsid w:val="4B9D5FFB"/>
    <w:rsid w:val="4BA50896"/>
    <w:rsid w:val="4BB07471"/>
    <w:rsid w:val="4BC11DD5"/>
    <w:rsid w:val="4BC56D85"/>
    <w:rsid w:val="4C39227D"/>
    <w:rsid w:val="4C4A42B7"/>
    <w:rsid w:val="4C7949A2"/>
    <w:rsid w:val="4C947906"/>
    <w:rsid w:val="4CB074DF"/>
    <w:rsid w:val="4CB56BAD"/>
    <w:rsid w:val="4CEA43B5"/>
    <w:rsid w:val="4D2B340C"/>
    <w:rsid w:val="4D486759"/>
    <w:rsid w:val="4D4A0066"/>
    <w:rsid w:val="4D8971C2"/>
    <w:rsid w:val="4D8D5BC8"/>
    <w:rsid w:val="4DAD60FD"/>
    <w:rsid w:val="4DB46DAD"/>
    <w:rsid w:val="4DBA0DF4"/>
    <w:rsid w:val="4DC61164"/>
    <w:rsid w:val="4DD13F0F"/>
    <w:rsid w:val="4E0A46D8"/>
    <w:rsid w:val="4E293D56"/>
    <w:rsid w:val="4E677F07"/>
    <w:rsid w:val="4E715360"/>
    <w:rsid w:val="4E754761"/>
    <w:rsid w:val="4E862287"/>
    <w:rsid w:val="4EA34300"/>
    <w:rsid w:val="4EA670CF"/>
    <w:rsid w:val="4EDE44A1"/>
    <w:rsid w:val="4F020FAD"/>
    <w:rsid w:val="4F0F634C"/>
    <w:rsid w:val="4F1B17A8"/>
    <w:rsid w:val="4F300B69"/>
    <w:rsid w:val="4F820602"/>
    <w:rsid w:val="4F847110"/>
    <w:rsid w:val="4FAF5261"/>
    <w:rsid w:val="4FBB0630"/>
    <w:rsid w:val="4FC46738"/>
    <w:rsid w:val="500D4962"/>
    <w:rsid w:val="502E143A"/>
    <w:rsid w:val="50323C73"/>
    <w:rsid w:val="50384420"/>
    <w:rsid w:val="503E2A63"/>
    <w:rsid w:val="504D75F4"/>
    <w:rsid w:val="505179D5"/>
    <w:rsid w:val="505F7AB3"/>
    <w:rsid w:val="5060696B"/>
    <w:rsid w:val="507509FD"/>
    <w:rsid w:val="507A7515"/>
    <w:rsid w:val="507F30E1"/>
    <w:rsid w:val="50816EA0"/>
    <w:rsid w:val="50C1350C"/>
    <w:rsid w:val="50CA3E1C"/>
    <w:rsid w:val="50DC1B38"/>
    <w:rsid w:val="50E91579"/>
    <w:rsid w:val="50F85BE5"/>
    <w:rsid w:val="51113CEF"/>
    <w:rsid w:val="511237B1"/>
    <w:rsid w:val="51180AD9"/>
    <w:rsid w:val="51285C23"/>
    <w:rsid w:val="51337FC8"/>
    <w:rsid w:val="513A7953"/>
    <w:rsid w:val="51E23838"/>
    <w:rsid w:val="51E37401"/>
    <w:rsid w:val="51E82F6F"/>
    <w:rsid w:val="521A3CC4"/>
    <w:rsid w:val="526C713F"/>
    <w:rsid w:val="52A469F8"/>
    <w:rsid w:val="52A95554"/>
    <w:rsid w:val="52AD1F8F"/>
    <w:rsid w:val="532962AC"/>
    <w:rsid w:val="534543BD"/>
    <w:rsid w:val="534A5134"/>
    <w:rsid w:val="539302A9"/>
    <w:rsid w:val="53EF36C4"/>
    <w:rsid w:val="5404539E"/>
    <w:rsid w:val="54191028"/>
    <w:rsid w:val="54244A97"/>
    <w:rsid w:val="543A714D"/>
    <w:rsid w:val="544662D1"/>
    <w:rsid w:val="54491EEA"/>
    <w:rsid w:val="545208D4"/>
    <w:rsid w:val="54BB16A0"/>
    <w:rsid w:val="54D526BD"/>
    <w:rsid w:val="550C6B66"/>
    <w:rsid w:val="550D6BCE"/>
    <w:rsid w:val="550E3831"/>
    <w:rsid w:val="552D09B1"/>
    <w:rsid w:val="55385139"/>
    <w:rsid w:val="553F0A67"/>
    <w:rsid w:val="5542526F"/>
    <w:rsid w:val="555F5A8A"/>
    <w:rsid w:val="55672B39"/>
    <w:rsid w:val="559C0D15"/>
    <w:rsid w:val="55A63687"/>
    <w:rsid w:val="55AD6B1D"/>
    <w:rsid w:val="55C66DE6"/>
    <w:rsid w:val="56104B95"/>
    <w:rsid w:val="561C7304"/>
    <w:rsid w:val="565518B4"/>
    <w:rsid w:val="565B184C"/>
    <w:rsid w:val="56885586"/>
    <w:rsid w:val="568E6E49"/>
    <w:rsid w:val="56AF76F5"/>
    <w:rsid w:val="56B03942"/>
    <w:rsid w:val="56B93DFF"/>
    <w:rsid w:val="56BC097C"/>
    <w:rsid w:val="56BC4ADC"/>
    <w:rsid w:val="56BE793D"/>
    <w:rsid w:val="56C77F79"/>
    <w:rsid w:val="56D565D6"/>
    <w:rsid w:val="57207A8A"/>
    <w:rsid w:val="576A3F6D"/>
    <w:rsid w:val="577B4022"/>
    <w:rsid w:val="577E565C"/>
    <w:rsid w:val="57892BAB"/>
    <w:rsid w:val="578C7BD9"/>
    <w:rsid w:val="57B16742"/>
    <w:rsid w:val="57F91F65"/>
    <w:rsid w:val="58100D4C"/>
    <w:rsid w:val="584532E8"/>
    <w:rsid w:val="585A30E7"/>
    <w:rsid w:val="58B52A73"/>
    <w:rsid w:val="58C65591"/>
    <w:rsid w:val="58E232A3"/>
    <w:rsid w:val="58E274EC"/>
    <w:rsid w:val="58EA42E3"/>
    <w:rsid w:val="58F3604D"/>
    <w:rsid w:val="593C7FF3"/>
    <w:rsid w:val="59A35EBA"/>
    <w:rsid w:val="59B5223B"/>
    <w:rsid w:val="59B85FFA"/>
    <w:rsid w:val="59C13ACF"/>
    <w:rsid w:val="59CF3A70"/>
    <w:rsid w:val="59FA7B4B"/>
    <w:rsid w:val="5A4F3C73"/>
    <w:rsid w:val="5A6625AC"/>
    <w:rsid w:val="5A67581F"/>
    <w:rsid w:val="5A761F1D"/>
    <w:rsid w:val="5A7B0805"/>
    <w:rsid w:val="5AA14CD4"/>
    <w:rsid w:val="5AAB6FCA"/>
    <w:rsid w:val="5ACC4E43"/>
    <w:rsid w:val="5ADE4C83"/>
    <w:rsid w:val="5AFB52B5"/>
    <w:rsid w:val="5B0002FF"/>
    <w:rsid w:val="5B335615"/>
    <w:rsid w:val="5B473547"/>
    <w:rsid w:val="5B895851"/>
    <w:rsid w:val="5B930FFF"/>
    <w:rsid w:val="5B9958D3"/>
    <w:rsid w:val="5BCE032C"/>
    <w:rsid w:val="5BDC5C15"/>
    <w:rsid w:val="5BF07BA1"/>
    <w:rsid w:val="5BF974AF"/>
    <w:rsid w:val="5C266FEF"/>
    <w:rsid w:val="5C33696B"/>
    <w:rsid w:val="5C466CF1"/>
    <w:rsid w:val="5C4D501B"/>
    <w:rsid w:val="5C7E47D3"/>
    <w:rsid w:val="5CBE6FEA"/>
    <w:rsid w:val="5CBF417B"/>
    <w:rsid w:val="5CC91849"/>
    <w:rsid w:val="5CE17ED5"/>
    <w:rsid w:val="5CFA1463"/>
    <w:rsid w:val="5D163846"/>
    <w:rsid w:val="5D197762"/>
    <w:rsid w:val="5D482003"/>
    <w:rsid w:val="5D4B1DA9"/>
    <w:rsid w:val="5D916C2E"/>
    <w:rsid w:val="5DB53203"/>
    <w:rsid w:val="5DCF7262"/>
    <w:rsid w:val="5DF44840"/>
    <w:rsid w:val="5DFB763C"/>
    <w:rsid w:val="5DFF6825"/>
    <w:rsid w:val="5E0810BA"/>
    <w:rsid w:val="5E10131F"/>
    <w:rsid w:val="5E29649F"/>
    <w:rsid w:val="5E3E612D"/>
    <w:rsid w:val="5E5B3ED3"/>
    <w:rsid w:val="5E5D4F6A"/>
    <w:rsid w:val="5E7970C2"/>
    <w:rsid w:val="5EC16AA0"/>
    <w:rsid w:val="5EC60009"/>
    <w:rsid w:val="5F2D260B"/>
    <w:rsid w:val="5F3B0491"/>
    <w:rsid w:val="5F3D0DBF"/>
    <w:rsid w:val="5F51182A"/>
    <w:rsid w:val="5F58537A"/>
    <w:rsid w:val="5F933C84"/>
    <w:rsid w:val="6007450F"/>
    <w:rsid w:val="605D7DCA"/>
    <w:rsid w:val="60924C9D"/>
    <w:rsid w:val="60B00E2F"/>
    <w:rsid w:val="60B06C30"/>
    <w:rsid w:val="60B552B6"/>
    <w:rsid w:val="60C61D67"/>
    <w:rsid w:val="60E757A3"/>
    <w:rsid w:val="60F80904"/>
    <w:rsid w:val="6101184A"/>
    <w:rsid w:val="6123402B"/>
    <w:rsid w:val="61335B85"/>
    <w:rsid w:val="613B6BFA"/>
    <w:rsid w:val="6155725E"/>
    <w:rsid w:val="615773E9"/>
    <w:rsid w:val="61863BF7"/>
    <w:rsid w:val="619674E3"/>
    <w:rsid w:val="61AA1046"/>
    <w:rsid w:val="61CD4DEF"/>
    <w:rsid w:val="61D06A82"/>
    <w:rsid w:val="61F57E2C"/>
    <w:rsid w:val="61FC0947"/>
    <w:rsid w:val="61FE703D"/>
    <w:rsid w:val="622F4B23"/>
    <w:rsid w:val="62A90884"/>
    <w:rsid w:val="62C53195"/>
    <w:rsid w:val="62D75F76"/>
    <w:rsid w:val="631A1FE9"/>
    <w:rsid w:val="63236EEA"/>
    <w:rsid w:val="637E354B"/>
    <w:rsid w:val="63992787"/>
    <w:rsid w:val="63B11AF7"/>
    <w:rsid w:val="63DD3565"/>
    <w:rsid w:val="642E19C7"/>
    <w:rsid w:val="642F7AEC"/>
    <w:rsid w:val="64395AE0"/>
    <w:rsid w:val="64947810"/>
    <w:rsid w:val="64CE57DF"/>
    <w:rsid w:val="64FB37B6"/>
    <w:rsid w:val="65183666"/>
    <w:rsid w:val="651B58FF"/>
    <w:rsid w:val="65453856"/>
    <w:rsid w:val="654A7A45"/>
    <w:rsid w:val="655C3DEA"/>
    <w:rsid w:val="65792D1D"/>
    <w:rsid w:val="65875B1F"/>
    <w:rsid w:val="65A51BA3"/>
    <w:rsid w:val="65B6666E"/>
    <w:rsid w:val="65C97433"/>
    <w:rsid w:val="65CE3CCF"/>
    <w:rsid w:val="65E37FCE"/>
    <w:rsid w:val="65E576E1"/>
    <w:rsid w:val="65E751FD"/>
    <w:rsid w:val="66080B73"/>
    <w:rsid w:val="660B5583"/>
    <w:rsid w:val="66143184"/>
    <w:rsid w:val="6622379F"/>
    <w:rsid w:val="66255413"/>
    <w:rsid w:val="6648482B"/>
    <w:rsid w:val="66555D9B"/>
    <w:rsid w:val="665C1FDC"/>
    <w:rsid w:val="667322A4"/>
    <w:rsid w:val="66743656"/>
    <w:rsid w:val="667760E3"/>
    <w:rsid w:val="66A73A80"/>
    <w:rsid w:val="66BA07C9"/>
    <w:rsid w:val="66F159C1"/>
    <w:rsid w:val="6706703A"/>
    <w:rsid w:val="67080599"/>
    <w:rsid w:val="671343AC"/>
    <w:rsid w:val="675917C6"/>
    <w:rsid w:val="676320D5"/>
    <w:rsid w:val="67903975"/>
    <w:rsid w:val="67A575FC"/>
    <w:rsid w:val="67B41B81"/>
    <w:rsid w:val="68053934"/>
    <w:rsid w:val="682E3D50"/>
    <w:rsid w:val="686235C4"/>
    <w:rsid w:val="688F34EE"/>
    <w:rsid w:val="68D42B42"/>
    <w:rsid w:val="68E17E1F"/>
    <w:rsid w:val="68EC3C32"/>
    <w:rsid w:val="690678BA"/>
    <w:rsid w:val="693E433F"/>
    <w:rsid w:val="69553B49"/>
    <w:rsid w:val="696E50D9"/>
    <w:rsid w:val="69820221"/>
    <w:rsid w:val="6983266F"/>
    <w:rsid w:val="69AA1A66"/>
    <w:rsid w:val="69CB39BA"/>
    <w:rsid w:val="69D141E9"/>
    <w:rsid w:val="69DF01EA"/>
    <w:rsid w:val="69FD43E7"/>
    <w:rsid w:val="6A0D758C"/>
    <w:rsid w:val="6A15319B"/>
    <w:rsid w:val="6A357CAD"/>
    <w:rsid w:val="6A3B283C"/>
    <w:rsid w:val="6A6A3FEB"/>
    <w:rsid w:val="6A6C75A6"/>
    <w:rsid w:val="6A804048"/>
    <w:rsid w:val="6AE33E31"/>
    <w:rsid w:val="6B180FDE"/>
    <w:rsid w:val="6B2A6A5F"/>
    <w:rsid w:val="6B3155EE"/>
    <w:rsid w:val="6B395532"/>
    <w:rsid w:val="6B51125F"/>
    <w:rsid w:val="6B7867DE"/>
    <w:rsid w:val="6B7A1CE2"/>
    <w:rsid w:val="6B8162FB"/>
    <w:rsid w:val="6BC235D2"/>
    <w:rsid w:val="6BC74726"/>
    <w:rsid w:val="6BEE421F"/>
    <w:rsid w:val="6BF96C20"/>
    <w:rsid w:val="6BFF08F9"/>
    <w:rsid w:val="6C012FA6"/>
    <w:rsid w:val="6C364C0D"/>
    <w:rsid w:val="6C500F51"/>
    <w:rsid w:val="6C845A17"/>
    <w:rsid w:val="6C944D23"/>
    <w:rsid w:val="6CA931CB"/>
    <w:rsid w:val="6CB17A74"/>
    <w:rsid w:val="6CCB4466"/>
    <w:rsid w:val="6CCF0F63"/>
    <w:rsid w:val="6D1248D0"/>
    <w:rsid w:val="6D84557C"/>
    <w:rsid w:val="6DA50D56"/>
    <w:rsid w:val="6DA60581"/>
    <w:rsid w:val="6DA7356D"/>
    <w:rsid w:val="6E0053E1"/>
    <w:rsid w:val="6E0B0D16"/>
    <w:rsid w:val="6E0C1F9F"/>
    <w:rsid w:val="6E21673D"/>
    <w:rsid w:val="6E34575E"/>
    <w:rsid w:val="6E3653DD"/>
    <w:rsid w:val="6E406FF2"/>
    <w:rsid w:val="6E7042BE"/>
    <w:rsid w:val="6E7C6EC0"/>
    <w:rsid w:val="6EA7202D"/>
    <w:rsid w:val="6F265FC7"/>
    <w:rsid w:val="6F28693A"/>
    <w:rsid w:val="6F417D2B"/>
    <w:rsid w:val="6F555F56"/>
    <w:rsid w:val="6F684FA6"/>
    <w:rsid w:val="6F6A1F57"/>
    <w:rsid w:val="6F7802B8"/>
    <w:rsid w:val="6FC357B8"/>
    <w:rsid w:val="6FD51606"/>
    <w:rsid w:val="700110BE"/>
    <w:rsid w:val="7003104A"/>
    <w:rsid w:val="70377381"/>
    <w:rsid w:val="70A63A59"/>
    <w:rsid w:val="70F83CE8"/>
    <w:rsid w:val="71192E0C"/>
    <w:rsid w:val="712B6A52"/>
    <w:rsid w:val="713759CB"/>
    <w:rsid w:val="71390ECE"/>
    <w:rsid w:val="713C3B3E"/>
    <w:rsid w:val="717B0CBD"/>
    <w:rsid w:val="718B53D1"/>
    <w:rsid w:val="718E1C5D"/>
    <w:rsid w:val="719B56EF"/>
    <w:rsid w:val="71C21751"/>
    <w:rsid w:val="71E061E4"/>
    <w:rsid w:val="71E542D3"/>
    <w:rsid w:val="72010916"/>
    <w:rsid w:val="72031362"/>
    <w:rsid w:val="720860A3"/>
    <w:rsid w:val="72131D78"/>
    <w:rsid w:val="72147C10"/>
    <w:rsid w:val="72283838"/>
    <w:rsid w:val="724D4346"/>
    <w:rsid w:val="72697041"/>
    <w:rsid w:val="727F6F60"/>
    <w:rsid w:val="72BF08E2"/>
    <w:rsid w:val="72D146FB"/>
    <w:rsid w:val="72E80EB3"/>
    <w:rsid w:val="730810AB"/>
    <w:rsid w:val="731173C1"/>
    <w:rsid w:val="732A2C68"/>
    <w:rsid w:val="732D254A"/>
    <w:rsid w:val="733129FA"/>
    <w:rsid w:val="73321B36"/>
    <w:rsid w:val="73360D13"/>
    <w:rsid w:val="734342E1"/>
    <w:rsid w:val="73636361"/>
    <w:rsid w:val="736949E6"/>
    <w:rsid w:val="7377177D"/>
    <w:rsid w:val="737A257D"/>
    <w:rsid w:val="73833596"/>
    <w:rsid w:val="738F7634"/>
    <w:rsid w:val="73A30043"/>
    <w:rsid w:val="73DA5F9E"/>
    <w:rsid w:val="73E9311D"/>
    <w:rsid w:val="73EF5F44"/>
    <w:rsid w:val="73F97431"/>
    <w:rsid w:val="740C6F1A"/>
    <w:rsid w:val="74316D4E"/>
    <w:rsid w:val="74362B4F"/>
    <w:rsid w:val="74663604"/>
    <w:rsid w:val="74E518AB"/>
    <w:rsid w:val="75150C18"/>
    <w:rsid w:val="757268D4"/>
    <w:rsid w:val="75AC171D"/>
    <w:rsid w:val="75DA33C1"/>
    <w:rsid w:val="75E71D43"/>
    <w:rsid w:val="75ED2283"/>
    <w:rsid w:val="760F49F8"/>
    <w:rsid w:val="76190E55"/>
    <w:rsid w:val="76594506"/>
    <w:rsid w:val="768D208F"/>
    <w:rsid w:val="76A47013"/>
    <w:rsid w:val="76CE7C27"/>
    <w:rsid w:val="76DBFF25"/>
    <w:rsid w:val="77095B48"/>
    <w:rsid w:val="77263A1D"/>
    <w:rsid w:val="7756230C"/>
    <w:rsid w:val="77584C9A"/>
    <w:rsid w:val="776528BD"/>
    <w:rsid w:val="7776420B"/>
    <w:rsid w:val="77AF42C7"/>
    <w:rsid w:val="77C13386"/>
    <w:rsid w:val="77E3148C"/>
    <w:rsid w:val="77EF5CBD"/>
    <w:rsid w:val="781720D7"/>
    <w:rsid w:val="7819334C"/>
    <w:rsid w:val="78417EF8"/>
    <w:rsid w:val="78594B8D"/>
    <w:rsid w:val="78630991"/>
    <w:rsid w:val="78725F64"/>
    <w:rsid w:val="78C51FA3"/>
    <w:rsid w:val="78FB1E09"/>
    <w:rsid w:val="79027281"/>
    <w:rsid w:val="791374B0"/>
    <w:rsid w:val="79160C6C"/>
    <w:rsid w:val="793D796D"/>
    <w:rsid w:val="796173B2"/>
    <w:rsid w:val="796E512E"/>
    <w:rsid w:val="79734051"/>
    <w:rsid w:val="797C365C"/>
    <w:rsid w:val="799777D4"/>
    <w:rsid w:val="79993DEA"/>
    <w:rsid w:val="7A0C61DF"/>
    <w:rsid w:val="7A1F3CF1"/>
    <w:rsid w:val="7A215511"/>
    <w:rsid w:val="7A327D90"/>
    <w:rsid w:val="7A46781A"/>
    <w:rsid w:val="7A617075"/>
    <w:rsid w:val="7A7A32B0"/>
    <w:rsid w:val="7AAB75D1"/>
    <w:rsid w:val="7AB07764"/>
    <w:rsid w:val="7AB97E5A"/>
    <w:rsid w:val="7AD83918"/>
    <w:rsid w:val="7B0E4FEA"/>
    <w:rsid w:val="7B220C2D"/>
    <w:rsid w:val="7B812AAC"/>
    <w:rsid w:val="7BA510D3"/>
    <w:rsid w:val="7BC05E14"/>
    <w:rsid w:val="7BC40315"/>
    <w:rsid w:val="7C1218CC"/>
    <w:rsid w:val="7C420912"/>
    <w:rsid w:val="7C5B0211"/>
    <w:rsid w:val="7C9D51B9"/>
    <w:rsid w:val="7CD23928"/>
    <w:rsid w:val="7CD60DDA"/>
    <w:rsid w:val="7CEC5988"/>
    <w:rsid w:val="7CF03F88"/>
    <w:rsid w:val="7D345976"/>
    <w:rsid w:val="7D3A0CA2"/>
    <w:rsid w:val="7D524615"/>
    <w:rsid w:val="7D543CAC"/>
    <w:rsid w:val="7D7541E1"/>
    <w:rsid w:val="7D9404B7"/>
    <w:rsid w:val="7DB91452"/>
    <w:rsid w:val="7DD444E7"/>
    <w:rsid w:val="7DDA1987"/>
    <w:rsid w:val="7DDA1BC8"/>
    <w:rsid w:val="7DF228B1"/>
    <w:rsid w:val="7DFFF48D"/>
    <w:rsid w:val="7E393025"/>
    <w:rsid w:val="7E6232B1"/>
    <w:rsid w:val="7E756184"/>
    <w:rsid w:val="7E7D0705"/>
    <w:rsid w:val="7E7F4BD7"/>
    <w:rsid w:val="7E847214"/>
    <w:rsid w:val="7E9B7929"/>
    <w:rsid w:val="7EA8077A"/>
    <w:rsid w:val="7EB96DF7"/>
    <w:rsid w:val="7EBF2EFE"/>
    <w:rsid w:val="7EC3083A"/>
    <w:rsid w:val="7ECF06F7"/>
    <w:rsid w:val="7EE76641"/>
    <w:rsid w:val="7EF35CD7"/>
    <w:rsid w:val="7EF60E5A"/>
    <w:rsid w:val="7EFB5BDB"/>
    <w:rsid w:val="7F0A2079"/>
    <w:rsid w:val="7F1F201E"/>
    <w:rsid w:val="7F630462"/>
    <w:rsid w:val="7F6E9DE0"/>
    <w:rsid w:val="7F975160"/>
    <w:rsid w:val="7F9C15E8"/>
    <w:rsid w:val="7FD3375C"/>
    <w:rsid w:val="7FFB37E7"/>
    <w:rsid w:val="9DD7B1FA"/>
    <w:rsid w:val="B92A66F6"/>
    <w:rsid w:val="C7DFD5FF"/>
    <w:rsid w:val="DFF7D6E2"/>
    <w:rsid w:val="EBFF10C4"/>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iPriority="0" w:semiHidden="0" w:name="annotation reference"/>
    <w:lsdException w:uiPriority="0" w:name="line number"/>
    <w:lsdException w:uiPriority="0" w:name="page number"/>
    <w:lsdException w:qFormat="1" w:uiPriority="99" w:semiHidden="0" w:name="endnote reference"/>
    <w:lsdException w:qFormat="1" w:uiPriority="99" w:semiHidden="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200" w:firstLineChars="200"/>
      <w:jc w:val="both"/>
    </w:pPr>
    <w:rPr>
      <w:rFonts w:ascii="仿宋" w:hAnsi="仿宋" w:eastAsia="仿宋" w:cs="黑体"/>
      <w:kern w:val="2"/>
      <w:sz w:val="30"/>
      <w:szCs w:val="24"/>
      <w:lang w:val="en-US" w:eastAsia="zh-CN" w:bidi="ar-SA"/>
    </w:rPr>
  </w:style>
  <w:style w:type="paragraph" w:styleId="2">
    <w:name w:val="heading 1"/>
    <w:basedOn w:val="1"/>
    <w:next w:val="1"/>
    <w:link w:val="65"/>
    <w:qFormat/>
    <w:uiPriority w:val="9"/>
    <w:pPr>
      <w:keepNext/>
      <w:keepLines/>
      <w:spacing w:afterLines="100" w:line="264" w:lineRule="auto"/>
      <w:ind w:firstLine="0" w:firstLineChars="0"/>
      <w:jc w:val="center"/>
      <w:outlineLvl w:val="0"/>
    </w:pPr>
    <w:rPr>
      <w:rFonts w:eastAsia="黑体"/>
      <w:b/>
      <w:bCs/>
      <w:kern w:val="44"/>
      <w:sz w:val="40"/>
      <w:szCs w:val="44"/>
    </w:rPr>
  </w:style>
  <w:style w:type="paragraph" w:styleId="3">
    <w:name w:val="heading 2"/>
    <w:basedOn w:val="1"/>
    <w:next w:val="1"/>
    <w:link w:val="57"/>
    <w:unhideWhenUsed/>
    <w:qFormat/>
    <w:uiPriority w:val="9"/>
    <w:pPr>
      <w:keepNext/>
      <w:keepLines/>
      <w:spacing w:beforeLines="50" w:afterLines="50" w:line="264" w:lineRule="auto"/>
      <w:ind w:firstLine="0" w:firstLineChars="0"/>
      <w:outlineLvl w:val="1"/>
    </w:pPr>
    <w:rPr>
      <w:rFonts w:ascii="等线 Light" w:hAnsi="等线 Light" w:eastAsia="黑体"/>
      <w:bCs/>
      <w:sz w:val="32"/>
      <w:szCs w:val="32"/>
    </w:rPr>
  </w:style>
  <w:style w:type="paragraph" w:styleId="4">
    <w:name w:val="heading 3"/>
    <w:basedOn w:val="1"/>
    <w:next w:val="1"/>
    <w:link w:val="67"/>
    <w:unhideWhenUsed/>
    <w:qFormat/>
    <w:uiPriority w:val="9"/>
    <w:pPr>
      <w:keepNext/>
      <w:keepLines/>
      <w:spacing w:beforeLines="50" w:afterLines="50" w:line="264" w:lineRule="auto"/>
      <w:ind w:firstLine="0" w:firstLineChars="0"/>
      <w:outlineLvl w:val="2"/>
    </w:pPr>
    <w:rPr>
      <w:b/>
      <w:bCs/>
      <w:sz w:val="32"/>
      <w:szCs w:val="32"/>
    </w:rPr>
  </w:style>
  <w:style w:type="paragraph" w:styleId="5">
    <w:name w:val="heading 4"/>
    <w:basedOn w:val="1"/>
    <w:next w:val="1"/>
    <w:link w:val="72"/>
    <w:unhideWhenUsed/>
    <w:qFormat/>
    <w:uiPriority w:val="9"/>
    <w:pPr>
      <w:keepNext/>
      <w:keepLines/>
      <w:spacing w:beforeLines="50" w:afterLines="50" w:line="264" w:lineRule="auto"/>
      <w:ind w:firstLine="1446"/>
      <w:outlineLvl w:val="3"/>
    </w:pPr>
    <w:rPr>
      <w:rFonts w:ascii="等线 Light" w:hAnsi="等线 Light"/>
      <w:b/>
      <w:bCs/>
      <w:szCs w:val="28"/>
    </w:rPr>
  </w:style>
  <w:style w:type="paragraph" w:styleId="6">
    <w:name w:val="heading 5"/>
    <w:basedOn w:val="1"/>
    <w:next w:val="1"/>
    <w:unhideWhenUsed/>
    <w:qFormat/>
    <w:uiPriority w:val="9"/>
    <w:pPr>
      <w:keepNext/>
      <w:keepLines/>
      <w:numPr>
        <w:ilvl w:val="0"/>
        <w:numId w:val="1"/>
      </w:numPr>
      <w:spacing w:beforeLines="50" w:afterLines="50" w:line="372" w:lineRule="auto"/>
      <w:ind w:left="0" w:firstLine="0" w:firstLineChars="0"/>
      <w:outlineLvl w:val="4"/>
    </w:pPr>
    <w:rPr>
      <w:b/>
    </w:rPr>
  </w:style>
  <w:style w:type="paragraph" w:styleId="7">
    <w:name w:val="heading 6"/>
    <w:basedOn w:val="1"/>
    <w:next w:val="1"/>
    <w:unhideWhenUsed/>
    <w:qFormat/>
    <w:uiPriority w:val="9"/>
    <w:pPr>
      <w:keepNext/>
      <w:keepLines/>
      <w:spacing w:before="240" w:after="64" w:line="320" w:lineRule="auto"/>
      <w:outlineLvl w:val="5"/>
    </w:pPr>
    <w:rPr>
      <w:rFonts w:ascii="等线 Light" w:hAnsi="等线 Light" w:eastAsia="等线 Light"/>
      <w:b/>
      <w:bCs/>
      <w:sz w:val="24"/>
    </w:rPr>
  </w:style>
  <w:style w:type="paragraph" w:styleId="8">
    <w:name w:val="heading 7"/>
    <w:basedOn w:val="1"/>
    <w:next w:val="1"/>
    <w:unhideWhenUsed/>
    <w:qFormat/>
    <w:uiPriority w:val="9"/>
    <w:pPr>
      <w:keepNext/>
      <w:keepLines/>
      <w:spacing w:before="240" w:after="64" w:line="320" w:lineRule="auto"/>
      <w:outlineLvl w:val="6"/>
    </w:pPr>
    <w:rPr>
      <w:b/>
      <w:bCs/>
      <w:sz w:val="24"/>
    </w:rPr>
  </w:style>
  <w:style w:type="paragraph" w:styleId="9">
    <w:name w:val="heading 8"/>
    <w:basedOn w:val="1"/>
    <w:next w:val="1"/>
    <w:unhideWhenUsed/>
    <w:qFormat/>
    <w:uiPriority w:val="9"/>
    <w:pPr>
      <w:keepNext/>
      <w:keepLines/>
      <w:spacing w:before="240" w:after="64" w:line="320" w:lineRule="auto"/>
      <w:outlineLvl w:val="7"/>
    </w:pPr>
    <w:rPr>
      <w:rFonts w:ascii="等线 Light" w:hAnsi="等线 Light" w:eastAsia="等线 Light"/>
      <w:sz w:val="24"/>
    </w:rPr>
  </w:style>
  <w:style w:type="paragraph" w:styleId="10">
    <w:name w:val="heading 9"/>
    <w:basedOn w:val="1"/>
    <w:next w:val="1"/>
    <w:link w:val="76"/>
    <w:unhideWhenUsed/>
    <w:qFormat/>
    <w:uiPriority w:val="9"/>
    <w:pPr>
      <w:keepNext/>
      <w:keepLines/>
      <w:spacing w:before="240" w:after="64" w:line="320" w:lineRule="auto"/>
      <w:outlineLvl w:val="8"/>
    </w:pPr>
    <w:rPr>
      <w:rFonts w:ascii="等线 Light" w:hAnsi="等线 Light" w:eastAsia="等线 Light"/>
      <w:sz w:val="21"/>
      <w:szCs w:val="21"/>
    </w:rPr>
  </w:style>
  <w:style w:type="character" w:default="1" w:styleId="32">
    <w:name w:val="Default Paragraph Font"/>
    <w:unhideWhenUsed/>
    <w:qFormat/>
    <w:uiPriority w:val="1"/>
  </w:style>
  <w:style w:type="table" w:default="1" w:styleId="39">
    <w:name w:val="Normal Table"/>
    <w:unhideWhenUsed/>
    <w:qFormat/>
    <w:uiPriority w:val="99"/>
    <w:tblPr>
      <w:tblStyle w:val="39"/>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70"/>
    <w:unhideWhenUsed/>
    <w:qFormat/>
    <w:uiPriority w:val="99"/>
    <w:rPr>
      <w:b/>
      <w:bCs/>
    </w:rPr>
  </w:style>
  <w:style w:type="paragraph" w:styleId="12">
    <w:name w:val="annotation text"/>
    <w:basedOn w:val="1"/>
    <w:link w:val="71"/>
    <w:unhideWhenUsed/>
    <w:qFormat/>
    <w:uiPriority w:val="0"/>
    <w:pPr>
      <w:jc w:val="left"/>
    </w:pPr>
  </w:style>
  <w:style w:type="paragraph" w:styleId="13">
    <w:name w:val="toc 7"/>
    <w:basedOn w:val="1"/>
    <w:next w:val="1"/>
    <w:unhideWhenUsed/>
    <w:qFormat/>
    <w:uiPriority w:val="39"/>
    <w:pPr>
      <w:ind w:left="2520" w:leftChars="1200"/>
    </w:pPr>
    <w:rPr>
      <w:szCs w:val="22"/>
    </w:rPr>
  </w:style>
  <w:style w:type="paragraph" w:styleId="14">
    <w:name w:val="caption"/>
    <w:basedOn w:val="1"/>
    <w:next w:val="1"/>
    <w:unhideWhenUsed/>
    <w:qFormat/>
    <w:uiPriority w:val="0"/>
    <w:rPr>
      <w:rFonts w:ascii="等线 Light" w:hAnsi="等线 Light" w:eastAsia="黑体"/>
      <w:sz w:val="20"/>
      <w:szCs w:val="20"/>
    </w:rPr>
  </w:style>
  <w:style w:type="paragraph" w:styleId="15">
    <w:name w:val="Body Text"/>
    <w:basedOn w:val="1"/>
    <w:link w:val="56"/>
    <w:qFormat/>
    <w:uiPriority w:val="0"/>
    <w:pPr>
      <w:spacing w:afterLines="50"/>
      <w:ind w:firstLine="0" w:firstLineChars="0"/>
      <w:jc w:val="center"/>
    </w:pPr>
    <w:rPr>
      <w:rFonts w:ascii="黑体" w:hAnsi="黑体" w:eastAsia="黑体"/>
    </w:rPr>
  </w:style>
  <w:style w:type="paragraph" w:styleId="16">
    <w:name w:val="toc 5"/>
    <w:basedOn w:val="1"/>
    <w:next w:val="1"/>
    <w:unhideWhenUsed/>
    <w:qFormat/>
    <w:uiPriority w:val="39"/>
    <w:pPr>
      <w:ind w:left="1680" w:leftChars="800"/>
    </w:pPr>
    <w:rPr>
      <w:szCs w:val="22"/>
    </w:rPr>
  </w:style>
  <w:style w:type="paragraph" w:styleId="17">
    <w:name w:val="toc 3"/>
    <w:basedOn w:val="1"/>
    <w:next w:val="1"/>
    <w:unhideWhenUsed/>
    <w:qFormat/>
    <w:uiPriority w:val="39"/>
    <w:pPr>
      <w:widowControl/>
      <w:spacing w:after="100" w:line="259" w:lineRule="auto"/>
      <w:ind w:left="440"/>
      <w:jc w:val="left"/>
    </w:pPr>
    <w:rPr>
      <w:rFonts w:eastAsia="Times New Roman" w:cs="Times New Roman"/>
      <w:kern w:val="0"/>
      <w:sz w:val="22"/>
      <w:szCs w:val="22"/>
    </w:rPr>
  </w:style>
  <w:style w:type="paragraph" w:styleId="18">
    <w:name w:val="toc 8"/>
    <w:basedOn w:val="1"/>
    <w:next w:val="1"/>
    <w:unhideWhenUsed/>
    <w:qFormat/>
    <w:uiPriority w:val="39"/>
    <w:pPr>
      <w:ind w:left="2940" w:leftChars="1400"/>
    </w:pPr>
    <w:rPr>
      <w:szCs w:val="22"/>
    </w:rPr>
  </w:style>
  <w:style w:type="paragraph" w:styleId="19">
    <w:name w:val="endnote text"/>
    <w:basedOn w:val="1"/>
    <w:unhideWhenUsed/>
    <w:qFormat/>
    <w:uiPriority w:val="99"/>
    <w:pPr>
      <w:snapToGrid w:val="0"/>
      <w:jc w:val="left"/>
    </w:pPr>
  </w:style>
  <w:style w:type="paragraph" w:styleId="20">
    <w:name w:val="Balloon Text"/>
    <w:basedOn w:val="1"/>
    <w:link w:val="59"/>
    <w:unhideWhenUsed/>
    <w:qFormat/>
    <w:uiPriority w:val="99"/>
    <w:rPr>
      <w:sz w:val="18"/>
      <w:szCs w:val="18"/>
    </w:rPr>
  </w:style>
  <w:style w:type="paragraph" w:styleId="21">
    <w:name w:val="footer"/>
    <w:basedOn w:val="1"/>
    <w:link w:val="63"/>
    <w:unhideWhenUsed/>
    <w:qFormat/>
    <w:uiPriority w:val="99"/>
    <w:pPr>
      <w:tabs>
        <w:tab w:val="center" w:pos="4153"/>
        <w:tab w:val="right" w:pos="8306"/>
      </w:tabs>
      <w:snapToGrid w:val="0"/>
      <w:jc w:val="left"/>
    </w:pPr>
    <w:rPr>
      <w:sz w:val="18"/>
      <w:szCs w:val="18"/>
    </w:rPr>
  </w:style>
  <w:style w:type="paragraph" w:styleId="22">
    <w:name w:val="header"/>
    <w:basedOn w:val="1"/>
    <w:link w:val="69"/>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pPr>
      <w:widowControl/>
      <w:spacing w:after="100" w:line="259" w:lineRule="auto"/>
      <w:jc w:val="left"/>
    </w:pPr>
    <w:rPr>
      <w:rFonts w:eastAsia="Times New Roman" w:cs="Times New Roman"/>
      <w:kern w:val="0"/>
      <w:sz w:val="22"/>
      <w:szCs w:val="22"/>
    </w:rPr>
  </w:style>
  <w:style w:type="paragraph" w:styleId="24">
    <w:name w:val="toc 4"/>
    <w:basedOn w:val="1"/>
    <w:next w:val="1"/>
    <w:unhideWhenUsed/>
    <w:qFormat/>
    <w:uiPriority w:val="39"/>
    <w:pPr>
      <w:ind w:left="1260" w:leftChars="600"/>
    </w:pPr>
    <w:rPr>
      <w:rFonts w:eastAsia="Times New Roman"/>
      <w:szCs w:val="22"/>
    </w:rPr>
  </w:style>
  <w:style w:type="paragraph" w:styleId="25">
    <w:name w:val="Subtitle"/>
    <w:basedOn w:val="1"/>
    <w:next w:val="1"/>
    <w:qFormat/>
    <w:uiPriority w:val="11"/>
    <w:pPr>
      <w:spacing w:before="240" w:after="60" w:line="312" w:lineRule="auto"/>
      <w:jc w:val="center"/>
      <w:outlineLvl w:val="1"/>
    </w:pPr>
    <w:rPr>
      <w:b/>
      <w:bCs/>
      <w:kern w:val="28"/>
      <w:sz w:val="32"/>
      <w:szCs w:val="32"/>
    </w:rPr>
  </w:style>
  <w:style w:type="paragraph" w:styleId="26">
    <w:name w:val="footnote text"/>
    <w:basedOn w:val="1"/>
    <w:link w:val="75"/>
    <w:unhideWhenUsed/>
    <w:qFormat/>
    <w:uiPriority w:val="99"/>
    <w:pPr>
      <w:snapToGrid w:val="0"/>
      <w:jc w:val="left"/>
    </w:pPr>
    <w:rPr>
      <w:sz w:val="18"/>
      <w:szCs w:val="18"/>
    </w:rPr>
  </w:style>
  <w:style w:type="paragraph" w:styleId="27">
    <w:name w:val="toc 6"/>
    <w:basedOn w:val="1"/>
    <w:next w:val="1"/>
    <w:unhideWhenUsed/>
    <w:qFormat/>
    <w:uiPriority w:val="39"/>
    <w:pPr>
      <w:ind w:left="2100" w:leftChars="1000"/>
    </w:pPr>
    <w:rPr>
      <w:szCs w:val="22"/>
    </w:rPr>
  </w:style>
  <w:style w:type="paragraph" w:styleId="28">
    <w:name w:val="toc 2"/>
    <w:basedOn w:val="1"/>
    <w:next w:val="1"/>
    <w:unhideWhenUsed/>
    <w:qFormat/>
    <w:uiPriority w:val="39"/>
    <w:pPr>
      <w:widowControl/>
      <w:spacing w:after="100" w:line="259" w:lineRule="auto"/>
      <w:ind w:left="220"/>
      <w:jc w:val="left"/>
    </w:pPr>
    <w:rPr>
      <w:rFonts w:eastAsia="Times New Roman" w:cs="Times New Roman"/>
      <w:kern w:val="0"/>
      <w:sz w:val="22"/>
      <w:szCs w:val="22"/>
    </w:rPr>
  </w:style>
  <w:style w:type="paragraph" w:styleId="29">
    <w:name w:val="toc 9"/>
    <w:basedOn w:val="1"/>
    <w:next w:val="1"/>
    <w:unhideWhenUsed/>
    <w:qFormat/>
    <w:uiPriority w:val="39"/>
    <w:pPr>
      <w:ind w:left="3360" w:leftChars="1600"/>
    </w:pPr>
    <w:rPr>
      <w:szCs w:val="22"/>
    </w:rPr>
  </w:style>
  <w:style w:type="paragraph" w:styleId="3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31">
    <w:name w:val="Title"/>
    <w:basedOn w:val="1"/>
    <w:next w:val="1"/>
    <w:qFormat/>
    <w:uiPriority w:val="10"/>
    <w:pPr>
      <w:spacing w:before="240" w:after="60"/>
      <w:jc w:val="center"/>
      <w:outlineLvl w:val="0"/>
    </w:pPr>
    <w:rPr>
      <w:rFonts w:ascii="等线 Light" w:hAnsi="等线 Light" w:eastAsia="等线 Light"/>
      <w:b/>
      <w:bCs/>
      <w:sz w:val="32"/>
      <w:szCs w:val="32"/>
    </w:rPr>
  </w:style>
  <w:style w:type="character" w:styleId="33">
    <w:name w:val="Strong"/>
    <w:qFormat/>
    <w:uiPriority w:val="0"/>
    <w:rPr>
      <w:b/>
      <w:bCs/>
    </w:rPr>
  </w:style>
  <w:style w:type="character" w:styleId="34">
    <w:name w:val="endnote reference"/>
    <w:unhideWhenUsed/>
    <w:qFormat/>
    <w:uiPriority w:val="99"/>
    <w:rPr>
      <w:vertAlign w:val="superscript"/>
    </w:rPr>
  </w:style>
  <w:style w:type="character" w:styleId="35">
    <w:name w:val="Emphasis"/>
    <w:qFormat/>
    <w:uiPriority w:val="20"/>
    <w:rPr>
      <w:i/>
      <w:iCs/>
    </w:rPr>
  </w:style>
  <w:style w:type="character" w:styleId="36">
    <w:name w:val="Hyperlink"/>
    <w:unhideWhenUsed/>
    <w:qFormat/>
    <w:uiPriority w:val="99"/>
    <w:rPr>
      <w:color w:val="0563C1"/>
      <w:u w:val="single"/>
    </w:rPr>
  </w:style>
  <w:style w:type="character" w:styleId="37">
    <w:name w:val="annotation reference"/>
    <w:unhideWhenUsed/>
    <w:qFormat/>
    <w:uiPriority w:val="0"/>
    <w:rPr>
      <w:sz w:val="21"/>
      <w:szCs w:val="21"/>
    </w:rPr>
  </w:style>
  <w:style w:type="character" w:styleId="38">
    <w:name w:val="footnote reference"/>
    <w:unhideWhenUsed/>
    <w:qFormat/>
    <w:uiPriority w:val="99"/>
    <w:rPr>
      <w:vertAlign w:val="superscript"/>
    </w:rPr>
  </w:style>
  <w:style w:type="table" w:styleId="40">
    <w:name w:val="Table Grid"/>
    <w:basedOn w:val="39"/>
    <w:qFormat/>
    <w:uiPriority w:val="39"/>
    <w:pPr/>
    <w:tblPr>
      <w:tblStyle w:val="3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41">
    <w:name w:val="TOC 标题3"/>
    <w:basedOn w:val="2"/>
    <w:next w:val="1"/>
    <w:unhideWhenUsed/>
    <w:qFormat/>
    <w:uiPriority w:val="39"/>
    <w:pPr>
      <w:widowControl/>
      <w:spacing w:before="240" w:afterLines="0" w:line="259" w:lineRule="auto"/>
      <w:jc w:val="left"/>
      <w:outlineLvl w:val="9"/>
    </w:pPr>
    <w:rPr>
      <w:rFonts w:ascii="等线 Light" w:hAnsi="等线 Light" w:eastAsia="等线 Light"/>
      <w:b w:val="0"/>
      <w:bCs w:val="0"/>
      <w:color w:val="2D73B3"/>
      <w:kern w:val="0"/>
      <w:sz w:val="32"/>
      <w:szCs w:val="32"/>
    </w:rPr>
  </w:style>
  <w:style w:type="paragraph" w:customStyle="1" w:styleId="42">
    <w:name w:val="修订2"/>
    <w:semiHidden/>
    <w:qFormat/>
    <w:uiPriority w:val="99"/>
    <w:rPr>
      <w:rFonts w:ascii="等线" w:hAnsi="等线" w:eastAsia="等线" w:cs="黑体"/>
      <w:kern w:val="2"/>
      <w:sz w:val="21"/>
      <w:szCs w:val="24"/>
      <w:lang w:val="en-US" w:eastAsia="zh-CN" w:bidi="ar-SA"/>
    </w:rPr>
  </w:style>
  <w:style w:type="paragraph" w:customStyle="1" w:styleId="43">
    <w:name w:val="TOC 标题2"/>
    <w:basedOn w:val="2"/>
    <w:next w:val="1"/>
    <w:unhideWhenUsed/>
    <w:qFormat/>
    <w:uiPriority w:val="39"/>
    <w:pPr>
      <w:widowControl/>
      <w:spacing w:before="240" w:line="259" w:lineRule="auto"/>
      <w:jc w:val="left"/>
      <w:outlineLvl w:val="9"/>
    </w:pPr>
    <w:rPr>
      <w:rFonts w:ascii="等线 Light" w:hAnsi="等线 Light" w:eastAsia="等线 Light"/>
      <w:b w:val="0"/>
      <w:bCs w:val="0"/>
      <w:color w:val="2D73B3"/>
      <w:kern w:val="0"/>
      <w:sz w:val="32"/>
      <w:szCs w:val="32"/>
    </w:rPr>
  </w:style>
  <w:style w:type="paragraph" w:customStyle="1" w:styleId="44">
    <w:name w:val="表格内容"/>
    <w:basedOn w:val="15"/>
    <w:link w:val="58"/>
    <w:qFormat/>
    <w:uiPriority w:val="0"/>
    <w:pPr>
      <w:spacing w:afterLines="0" w:line="240" w:lineRule="auto"/>
    </w:pPr>
    <w:rPr>
      <w:rFonts w:eastAsia="仿宋"/>
      <w:b/>
      <w:bCs/>
      <w:sz w:val="21"/>
    </w:rPr>
  </w:style>
  <w:style w:type="paragraph" w:customStyle="1" w:styleId="45">
    <w:name w:val="列表段落1"/>
    <w:basedOn w:val="1"/>
    <w:qFormat/>
    <w:uiPriority w:val="34"/>
    <w:pPr>
      <w:ind w:firstLine="420"/>
    </w:pPr>
  </w:style>
  <w:style w:type="paragraph" w:customStyle="1" w:styleId="46">
    <w:name w:val="Char Char4 Char Char"/>
    <w:basedOn w:val="1"/>
    <w:qFormat/>
    <w:uiPriority w:val="0"/>
    <w:pPr>
      <w:widowControl/>
    </w:pPr>
    <w:rPr>
      <w:rFonts w:ascii="Times New Roman" w:hAnsi="Times New Roman" w:eastAsia="宋体" w:cs="Times New Roman"/>
      <w:sz w:val="21"/>
      <w:szCs w:val="20"/>
    </w:rPr>
  </w:style>
  <w:style w:type="paragraph" w:customStyle="1" w:styleId="47">
    <w:name w:val="TOC 标题1"/>
    <w:basedOn w:val="2"/>
    <w:next w:val="1"/>
    <w:unhideWhenUsed/>
    <w:qFormat/>
    <w:uiPriority w:val="39"/>
    <w:pPr>
      <w:widowControl/>
      <w:spacing w:before="240" w:line="259" w:lineRule="auto"/>
      <w:jc w:val="left"/>
      <w:outlineLvl w:val="9"/>
    </w:pPr>
    <w:rPr>
      <w:rFonts w:ascii="等线 Light" w:hAnsi="等线 Light" w:eastAsia="等线 Light"/>
      <w:b w:val="0"/>
      <w:bCs w:val="0"/>
      <w:color w:val="2D73B3"/>
      <w:kern w:val="0"/>
      <w:sz w:val="32"/>
      <w:szCs w:val="32"/>
    </w:rPr>
  </w:style>
  <w:style w:type="paragraph" w:customStyle="1" w:styleId="48">
    <w:name w:val="Table Paragraph"/>
    <w:basedOn w:val="1"/>
    <w:qFormat/>
    <w:uiPriority w:val="1"/>
    <w:pPr>
      <w:spacing w:before="34"/>
      <w:jc w:val="center"/>
    </w:pPr>
    <w:rPr>
      <w:rFonts w:ascii="Times New Roman" w:hAnsi="Times New Roman" w:eastAsia="Times New Roman" w:cs="Times New Roman"/>
    </w:rPr>
  </w:style>
  <w:style w:type="paragraph" w:customStyle="1" w:styleId="49">
    <w:name w:val="WPSOffice手动目录 1"/>
    <w:qFormat/>
    <w:uiPriority w:val="0"/>
    <w:rPr>
      <w:rFonts w:ascii="Times New Roman" w:hAnsi="Times New Roman" w:eastAsia="宋体" w:cs="Times New Roman"/>
      <w:lang w:val="en-US" w:eastAsia="zh-CN" w:bidi="ar-SA"/>
    </w:rPr>
  </w:style>
  <w:style w:type="paragraph" w:customStyle="1" w:styleId="50">
    <w:name w:val="修订1"/>
    <w:semiHidden/>
    <w:qFormat/>
    <w:uiPriority w:val="99"/>
    <w:rPr>
      <w:rFonts w:ascii="等线" w:hAnsi="等线" w:eastAsia="等线" w:cs="黑体"/>
      <w:kern w:val="2"/>
      <w:sz w:val="21"/>
      <w:szCs w:val="24"/>
      <w:lang w:val="en-US" w:eastAsia="zh-CN" w:bidi="ar-SA"/>
    </w:rPr>
  </w:style>
  <w:style w:type="paragraph" w:customStyle="1" w:styleId="51">
    <w:name w:val="Char Char Char Char Char Char1"/>
    <w:basedOn w:val="1"/>
    <w:qFormat/>
    <w:uiPriority w:val="0"/>
    <w:pPr>
      <w:spacing w:line="240" w:lineRule="auto"/>
      <w:ind w:firstLine="0" w:firstLineChars="0"/>
    </w:pPr>
    <w:rPr>
      <w:rFonts w:ascii="宋体" w:hAnsi="宋体" w:eastAsia="楷体_GB2312" w:cs="Courier New"/>
      <w:sz w:val="32"/>
      <w:szCs w:val="32"/>
    </w:rPr>
  </w:style>
  <w:style w:type="paragraph" w:customStyle="1" w:styleId="52">
    <w:name w:val="修订3"/>
    <w:semiHidden/>
    <w:qFormat/>
    <w:uiPriority w:val="99"/>
    <w:rPr>
      <w:rFonts w:ascii="仿宋" w:hAnsi="仿宋" w:eastAsia="仿宋" w:cs="黑体"/>
      <w:kern w:val="2"/>
      <w:sz w:val="30"/>
      <w:szCs w:val="24"/>
      <w:lang w:val="en-US" w:eastAsia="zh-CN" w:bidi="ar-SA"/>
    </w:rPr>
  </w:style>
  <w:style w:type="paragraph" w:customStyle="1" w:styleId="5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4">
    <w:name w:val="Char Char Char Char Char Char"/>
    <w:basedOn w:val="1"/>
    <w:qFormat/>
    <w:uiPriority w:val="0"/>
    <w:rPr>
      <w:rFonts w:ascii="宋体" w:hAnsi="宋体" w:eastAsia="楷体_GB2312" w:cs="Courier New"/>
      <w:sz w:val="32"/>
      <w:szCs w:val="32"/>
    </w:rPr>
  </w:style>
  <w:style w:type="paragraph" w:customStyle="1" w:styleId="55">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56">
    <w:name w:val="正文文本 字符"/>
    <w:link w:val="15"/>
    <w:qFormat/>
    <w:uiPriority w:val="0"/>
    <w:rPr>
      <w:rFonts w:ascii="黑体" w:hAnsi="黑体" w:eastAsia="黑体"/>
      <w:kern w:val="2"/>
      <w:sz w:val="30"/>
      <w:szCs w:val="24"/>
    </w:rPr>
  </w:style>
  <w:style w:type="character" w:customStyle="1" w:styleId="57">
    <w:name w:val="标题 2 字符"/>
    <w:link w:val="3"/>
    <w:qFormat/>
    <w:uiPriority w:val="9"/>
    <w:rPr>
      <w:rFonts w:ascii="等线 Light" w:hAnsi="等线 Light" w:eastAsia="黑体" w:cs="黑体"/>
      <w:bCs/>
      <w:kern w:val="2"/>
      <w:sz w:val="32"/>
      <w:szCs w:val="32"/>
    </w:rPr>
  </w:style>
  <w:style w:type="character" w:customStyle="1" w:styleId="58">
    <w:name w:val="表格内容 字符"/>
    <w:link w:val="44"/>
    <w:qFormat/>
    <w:uiPriority w:val="0"/>
    <w:rPr>
      <w:rFonts w:ascii="黑体" w:hAnsi="黑体" w:eastAsia="仿宋"/>
      <w:b/>
      <w:bCs/>
      <w:kern w:val="2"/>
      <w:sz w:val="21"/>
      <w:szCs w:val="24"/>
    </w:rPr>
  </w:style>
  <w:style w:type="character" w:customStyle="1" w:styleId="59">
    <w:name w:val="批注框文本 字符"/>
    <w:link w:val="20"/>
    <w:semiHidden/>
    <w:qFormat/>
    <w:uiPriority w:val="99"/>
    <w:rPr>
      <w:kern w:val="2"/>
      <w:sz w:val="18"/>
      <w:szCs w:val="18"/>
    </w:rPr>
  </w:style>
  <w:style w:type="character" w:customStyle="1" w:styleId="60">
    <w:name w:val="不明显强调1"/>
    <w:qFormat/>
    <w:uiPriority w:val="19"/>
    <w:rPr>
      <w:i/>
      <w:iCs/>
      <w:color w:val="3F3F3F"/>
    </w:rPr>
  </w:style>
  <w:style w:type="character" w:customStyle="1" w:styleId="61">
    <w:name w:val="未处理的提及2"/>
    <w:unhideWhenUsed/>
    <w:qFormat/>
    <w:uiPriority w:val="99"/>
    <w:rPr>
      <w:color w:val="605E5C"/>
      <w:shd w:val="clear" w:color="auto" w:fill="E1DFDD"/>
    </w:rPr>
  </w:style>
  <w:style w:type="character" w:customStyle="1" w:styleId="62">
    <w:name w:val="font21"/>
    <w:qFormat/>
    <w:uiPriority w:val="0"/>
    <w:rPr>
      <w:rFonts w:hint="eastAsia" w:ascii="仿宋" w:hAnsi="仿宋" w:eastAsia="仿宋" w:cs="仿宋"/>
      <w:color w:val="000000"/>
      <w:sz w:val="30"/>
      <w:szCs w:val="30"/>
      <w:u w:val="none"/>
    </w:rPr>
  </w:style>
  <w:style w:type="character" w:customStyle="1" w:styleId="63">
    <w:name w:val="页脚 字符"/>
    <w:link w:val="21"/>
    <w:qFormat/>
    <w:uiPriority w:val="99"/>
    <w:rPr>
      <w:sz w:val="18"/>
      <w:szCs w:val="18"/>
    </w:rPr>
  </w:style>
  <w:style w:type="character" w:customStyle="1" w:styleId="64">
    <w:name w:val="未处理的提及5"/>
    <w:unhideWhenUsed/>
    <w:qFormat/>
    <w:uiPriority w:val="99"/>
    <w:rPr>
      <w:color w:val="605E5C"/>
      <w:shd w:val="clear" w:color="auto" w:fill="E1DFDD"/>
    </w:rPr>
  </w:style>
  <w:style w:type="character" w:customStyle="1" w:styleId="65">
    <w:name w:val="标题 1 字符"/>
    <w:link w:val="2"/>
    <w:qFormat/>
    <w:uiPriority w:val="9"/>
    <w:rPr>
      <w:rFonts w:ascii="仿宋" w:hAnsi="仿宋" w:eastAsia="黑体"/>
      <w:b/>
      <w:bCs/>
      <w:kern w:val="44"/>
      <w:sz w:val="40"/>
      <w:szCs w:val="44"/>
    </w:rPr>
  </w:style>
  <w:style w:type="character" w:customStyle="1" w:styleId="66">
    <w:name w:val="未处理的提及3"/>
    <w:unhideWhenUsed/>
    <w:qFormat/>
    <w:uiPriority w:val="99"/>
    <w:rPr>
      <w:color w:val="605E5C"/>
      <w:shd w:val="clear" w:color="auto" w:fill="E1DFDD"/>
    </w:rPr>
  </w:style>
  <w:style w:type="character" w:customStyle="1" w:styleId="67">
    <w:name w:val="标题 3 字符"/>
    <w:link w:val="4"/>
    <w:qFormat/>
    <w:uiPriority w:val="9"/>
    <w:rPr>
      <w:rFonts w:eastAsia="仿宋"/>
      <w:b/>
      <w:bCs/>
      <w:kern w:val="2"/>
      <w:sz w:val="32"/>
      <w:szCs w:val="32"/>
    </w:rPr>
  </w:style>
  <w:style w:type="character" w:customStyle="1" w:styleId="68">
    <w:name w:val="未处理的提及4"/>
    <w:unhideWhenUsed/>
    <w:qFormat/>
    <w:uiPriority w:val="99"/>
    <w:rPr>
      <w:color w:val="605E5C"/>
      <w:shd w:val="clear" w:color="auto" w:fill="E1DFDD"/>
    </w:rPr>
  </w:style>
  <w:style w:type="character" w:customStyle="1" w:styleId="69">
    <w:name w:val="页眉 字符"/>
    <w:link w:val="22"/>
    <w:qFormat/>
    <w:uiPriority w:val="99"/>
    <w:rPr>
      <w:sz w:val="18"/>
      <w:szCs w:val="18"/>
    </w:rPr>
  </w:style>
  <w:style w:type="character" w:customStyle="1" w:styleId="70">
    <w:name w:val="批注主题 字符"/>
    <w:link w:val="11"/>
    <w:semiHidden/>
    <w:qFormat/>
    <w:uiPriority w:val="99"/>
    <w:rPr>
      <w:b/>
      <w:bCs/>
      <w:kern w:val="2"/>
      <w:sz w:val="21"/>
      <w:szCs w:val="24"/>
    </w:rPr>
  </w:style>
  <w:style w:type="character" w:customStyle="1" w:styleId="71">
    <w:name w:val="批注文字 字符"/>
    <w:link w:val="12"/>
    <w:qFormat/>
    <w:uiPriority w:val="0"/>
    <w:rPr>
      <w:kern w:val="2"/>
      <w:sz w:val="21"/>
      <w:szCs w:val="24"/>
    </w:rPr>
  </w:style>
  <w:style w:type="character" w:customStyle="1" w:styleId="72">
    <w:name w:val="标题 4 字符"/>
    <w:link w:val="5"/>
    <w:qFormat/>
    <w:uiPriority w:val="9"/>
    <w:rPr>
      <w:rFonts w:ascii="等线 Light" w:hAnsi="等线 Light" w:eastAsia="仿宋" w:cs="黑体"/>
      <w:b/>
      <w:bCs/>
      <w:kern w:val="2"/>
      <w:sz w:val="30"/>
      <w:szCs w:val="28"/>
    </w:rPr>
  </w:style>
  <w:style w:type="character" w:customStyle="1" w:styleId="73">
    <w:name w:val="font11"/>
    <w:qFormat/>
    <w:uiPriority w:val="0"/>
    <w:rPr>
      <w:rFonts w:hint="default" w:ascii="Times New Roman" w:hAnsi="Times New Roman" w:cs="Times New Roman"/>
      <w:color w:val="000000"/>
      <w:sz w:val="30"/>
      <w:szCs w:val="30"/>
      <w:u w:val="none"/>
    </w:rPr>
  </w:style>
  <w:style w:type="character" w:customStyle="1" w:styleId="74">
    <w:name w:val="未处理的提及1"/>
    <w:unhideWhenUsed/>
    <w:qFormat/>
    <w:uiPriority w:val="99"/>
    <w:rPr>
      <w:color w:val="605E5C"/>
      <w:shd w:val="clear" w:color="auto" w:fill="E1DFDD"/>
    </w:rPr>
  </w:style>
  <w:style w:type="character" w:customStyle="1" w:styleId="75">
    <w:name w:val="脚注文本 字符"/>
    <w:link w:val="26"/>
    <w:qFormat/>
    <w:uiPriority w:val="99"/>
    <w:rPr>
      <w:kern w:val="2"/>
      <w:sz w:val="18"/>
      <w:szCs w:val="18"/>
    </w:rPr>
  </w:style>
  <w:style w:type="character" w:customStyle="1" w:styleId="76">
    <w:name w:val="标题 9 字符"/>
    <w:link w:val="10"/>
    <w:qFormat/>
    <w:uiPriority w:val="9"/>
    <w:rPr>
      <w:rFonts w:ascii="等线 Light" w:hAnsi="等线 Light" w:eastAsia="等线 Light" w:cs="黑体"/>
      <w:kern w:val="2"/>
      <w:sz w:val="21"/>
      <w:szCs w:val="21"/>
    </w:rPr>
  </w:style>
  <w:style w:type="table" w:customStyle="1" w:styleId="77">
    <w:name w:val="无格式表格 11"/>
    <w:basedOn w:val="39"/>
    <w:qFormat/>
    <w:uiPriority w:val="41"/>
    <w:pPr/>
    <w:tblPr>
      <w:tblStyle w:val="39"/>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Pr>
    <w:tcPr>
      <w:textDirection w:val="lrTb"/>
    </w:tcPr>
    <w:tblStylePr w:type="firstRow">
      <w:rPr>
        <w:b/>
        <w:bCs/>
      </w:rPr>
      <w:tblPr>
        <w:tblStyle w:val="39"/>
        <w:tblLayout w:type="fixed"/>
      </w:tblPr>
      <w:tcPr>
        <w:textDirection w:val="lrTb"/>
      </w:tcPr>
    </w:tblStylePr>
    <w:tblStylePr w:type="lastRow">
      <w:rPr>
        <w:b/>
        <w:bCs/>
      </w:rPr>
      <w:tblPr>
        <w:tblStyle w:val="39"/>
        <w:tblLayout w:type="fixed"/>
      </w:tblPr>
      <w:tcPr>
        <w:tcBorders>
          <w:top w:val="double" w:color="BFBFBF" w:sz="4" w:space="0"/>
          <w:left w:val="nil"/>
          <w:bottom w:val="nil"/>
          <w:right w:val="nil"/>
          <w:insideH w:val="nil"/>
          <w:insideV w:val="nil"/>
          <w:tl2br w:val="nil"/>
          <w:tr2bl w:val="nil"/>
        </w:tcBorders>
        <w:textDirection w:val="lrTb"/>
      </w:tcPr>
    </w:tblStylePr>
    <w:tblStylePr w:type="firstCol">
      <w:rPr>
        <w:b/>
        <w:bCs/>
      </w:rPr>
      <w:tblPr>
        <w:tblStyle w:val="39"/>
        <w:tblLayout w:type="fixed"/>
      </w:tblPr>
      <w:tcPr>
        <w:textDirection w:val="lrTb"/>
      </w:tcPr>
    </w:tblStylePr>
    <w:tblStylePr w:type="lastCol">
      <w:rPr>
        <w:b/>
        <w:bCs/>
      </w:rPr>
      <w:tblPr>
        <w:tblStyle w:val="39"/>
        <w:tblLayout w:type="fixed"/>
      </w:tblPr>
      <w:tcPr>
        <w:textDirection w:val="lrTb"/>
      </w:tcPr>
    </w:tblStylePr>
    <w:tblStylePr w:type="band1Vert">
      <w:tblPr>
        <w:tblStyle w:val="39"/>
        <w:tblLayout w:type="fixed"/>
      </w:tblPr>
      <w:tcPr>
        <w:shd w:val="clear" w:color="auto" w:fill="F2F2F2"/>
        <w:textDirection w:val="lrTb"/>
      </w:tcPr>
    </w:tblStylePr>
    <w:tblStylePr w:type="band1Horz">
      <w:tblPr>
        <w:tblStyle w:val="39"/>
        <w:tblLayout w:type="fixed"/>
      </w:tblPr>
      <w:tcPr>
        <w:shd w:val="clear" w:color="auto" w:fill="F2F2F2"/>
        <w:textDirection w:val="lrTb"/>
      </w:tcPr>
    </w:tblStylePr>
  </w:style>
  <w:style w:type="table" w:customStyle="1" w:styleId="78">
    <w:name w:val="网格表 5 深色 - 着色 21"/>
    <w:basedOn w:val="39"/>
    <w:qFormat/>
    <w:uiPriority w:val="50"/>
    <w:pPr/>
    <w:rPr>
      <w:kern w:val="2"/>
      <w:sz w:val="21"/>
      <w:szCs w:val="22"/>
    </w:rPr>
    <w:tblPr>
      <w:tblStyle w:val="39"/>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
    <w:tcPr>
      <w:shd w:val="clear" w:color="auto" w:fill="FBE4D5"/>
      <w:textDirection w:val="lrTb"/>
    </w:tcPr>
    <w:tblStylePr w:type="firstRow">
      <w:rPr>
        <w:b/>
        <w:bCs/>
        <w:color w:val="FFFFFF"/>
      </w:rPr>
      <w:tblPr>
        <w:tblStyle w:val="39"/>
        <w:tblLayout w:type="fixed"/>
      </w:tblPr>
      <w:tcPr>
        <w:tcBorders>
          <w:top w:val="single" w:color="FFFFFF" w:sz="4" w:space="0"/>
          <w:left w:val="single" w:color="FFFFFF" w:sz="4" w:space="0"/>
          <w:bottom w:val="nil"/>
          <w:right w:val="single" w:color="FFFFFF" w:sz="4" w:space="0"/>
          <w:insideH w:val="nil"/>
          <w:insideV w:val="nil"/>
          <w:tl2br w:val="nil"/>
          <w:tr2bl w:val="nil"/>
        </w:tcBorders>
        <w:shd w:val="clear" w:color="auto" w:fill="ED7D31"/>
        <w:textDirection w:val="lrTb"/>
      </w:tcPr>
    </w:tblStylePr>
    <w:tblStylePr w:type="lastRow">
      <w:rPr>
        <w:b/>
        <w:bCs/>
        <w:color w:val="FFFFFF"/>
      </w:rPr>
      <w:tblPr>
        <w:tblStyle w:val="39"/>
        <w:tblLayout w:type="fixed"/>
      </w:tblPr>
      <w:tcPr>
        <w:tcBorders>
          <w:top w:val="nil"/>
          <w:left w:val="single" w:color="FFFFFF" w:sz="4" w:space="0"/>
          <w:bottom w:val="single" w:color="FFFFFF" w:sz="4" w:space="0"/>
          <w:right w:val="single" w:color="FFFFFF" w:sz="4" w:space="0"/>
          <w:insideH w:val="nil"/>
          <w:insideV w:val="nil"/>
          <w:tl2br w:val="nil"/>
          <w:tr2bl w:val="nil"/>
        </w:tcBorders>
        <w:shd w:val="clear" w:color="auto" w:fill="ED7D31"/>
        <w:textDirection w:val="lrTb"/>
      </w:tcPr>
    </w:tblStylePr>
    <w:tblStylePr w:type="firstCol">
      <w:rPr>
        <w:b/>
        <w:bCs/>
        <w:color w:val="FFFFFF"/>
      </w:rPr>
      <w:tblPr>
        <w:tblStyle w:val="39"/>
        <w:tblLayout w:type="fixed"/>
      </w:tblPr>
      <w:tcPr>
        <w:tcBorders>
          <w:top w:val="single" w:color="FFFFFF" w:sz="4" w:space="0"/>
          <w:left w:val="single" w:color="FFFFFF" w:sz="4" w:space="0"/>
          <w:bottom w:val="single" w:color="FFFFFF" w:sz="4" w:space="0"/>
          <w:right w:val="nil"/>
          <w:insideH w:val="nil"/>
          <w:insideV w:val="nil"/>
          <w:tl2br w:val="nil"/>
          <w:tr2bl w:val="nil"/>
        </w:tcBorders>
        <w:shd w:val="clear" w:color="auto" w:fill="ED7D31"/>
        <w:textDirection w:val="lrTb"/>
      </w:tcPr>
    </w:tblStylePr>
    <w:tblStylePr w:type="lastCol">
      <w:rPr>
        <w:b/>
        <w:bCs/>
        <w:color w:val="FFFFFF"/>
      </w:rPr>
      <w:tblPr>
        <w:tblStyle w:val="39"/>
        <w:tblLayout w:type="fixed"/>
      </w:tblPr>
      <w:tcPr>
        <w:tcBorders>
          <w:top w:val="single" w:color="FFFFFF" w:sz="4" w:space="0"/>
          <w:left w:val="nil"/>
          <w:bottom w:val="single" w:color="FFFFFF" w:sz="4" w:space="0"/>
          <w:right w:val="single" w:color="FFFFFF" w:sz="4" w:space="0"/>
          <w:insideH w:val="nil"/>
          <w:insideV w:val="nil"/>
          <w:tl2br w:val="nil"/>
          <w:tr2bl w:val="nil"/>
        </w:tcBorders>
        <w:shd w:val="clear" w:color="auto" w:fill="ED7D31"/>
        <w:textDirection w:val="lrTb"/>
      </w:tcPr>
    </w:tblStylePr>
    <w:tblStylePr w:type="band1Vert">
      <w:tblPr>
        <w:tblStyle w:val="39"/>
        <w:tblLayout w:type="fixed"/>
      </w:tblPr>
      <w:tcPr>
        <w:shd w:val="clear" w:color="auto" w:fill="F7CAAC"/>
        <w:textDirection w:val="lrTb"/>
      </w:tcPr>
    </w:tblStylePr>
    <w:tblStylePr w:type="band1Horz">
      <w:tblPr>
        <w:tblStyle w:val="39"/>
        <w:tblLayout w:type="fixed"/>
      </w:tblPr>
      <w:tcPr>
        <w:shd w:val="clear" w:color="auto" w:fill="F7CAAC"/>
        <w:textDirection w:val="lrTb"/>
      </w:tcPr>
    </w:tblStyle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3" Type="http://schemas.openxmlformats.org/officeDocument/2006/relationships/settings" Target="settings.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6.png"/><Relationship Id="rId2" Type="http://schemas.openxmlformats.org/officeDocument/2006/relationships/styles" Target="styles.xml"/><Relationship Id="rId19" Type="http://schemas.openxmlformats.org/officeDocument/2006/relationships/image" Target="media/image5.jpe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10498</Words>
  <Characters>59839</Characters>
  <Lines>498</Lines>
  <Paragraphs>140</Paragraphs>
  <TotalTime>0</TotalTime>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2021-02-26T07:13:00Z</dcterms:created>
  <dc:creator>Windows 用户</dc:creator>
  <cp:lastModifiedBy>谷昆鹏</cp:lastModifiedBy>
  <cp:lastPrinted>2021-04-16T17:36:00Z</cp:lastPrinted>
  <dcterms:modified xsi:type="dcterms:W3CDTF">2021-09-29T07:58:16Z</dcterms:modified>
  <dc:title>北京市养老服务专项规划</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