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0E89" w14:textId="77777777" w:rsidR="00FC4399" w:rsidRDefault="00FC4399" w:rsidP="00FC4399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3C1C6FE4" w14:textId="77777777" w:rsidR="00FC4399" w:rsidRDefault="00FC4399" w:rsidP="00FC4399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老年护理需求评估</w:t>
      </w:r>
      <w:r w:rsidR="00433D8C">
        <w:rPr>
          <w:rFonts w:ascii="宋体" w:hAnsi="宋体" w:hint="eastAsia"/>
          <w:b/>
          <w:sz w:val="36"/>
          <w:szCs w:val="36"/>
        </w:rPr>
        <w:t>中心</w:t>
      </w:r>
      <w:r>
        <w:rPr>
          <w:rFonts w:ascii="宋体" w:hAnsi="宋体" w:hint="eastAsia"/>
          <w:b/>
          <w:sz w:val="36"/>
          <w:szCs w:val="36"/>
        </w:rPr>
        <w:t>标准</w:t>
      </w:r>
    </w:p>
    <w:p w14:paraId="29FD5AAA" w14:textId="77777777" w:rsidR="00FC4399" w:rsidRDefault="00FC4399" w:rsidP="00FC4399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14:paraId="778C079E" w14:textId="77777777" w:rsidR="00FC4399" w:rsidRDefault="00FC4399" w:rsidP="00FC439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540EC9">
        <w:rPr>
          <w:rFonts w:ascii="黑体" w:eastAsia="黑体" w:hAnsi="黑体" w:hint="eastAsia"/>
          <w:sz w:val="32"/>
          <w:szCs w:val="32"/>
        </w:rPr>
        <w:t>、</w:t>
      </w:r>
      <w:r w:rsidR="00540EC9">
        <w:rPr>
          <w:rFonts w:ascii="黑体" w:eastAsia="黑体" w:hAnsi="黑体"/>
          <w:sz w:val="32"/>
          <w:szCs w:val="32"/>
        </w:rPr>
        <w:t>老年护理需求</w:t>
      </w:r>
      <w:r w:rsidR="00540EC9">
        <w:rPr>
          <w:rFonts w:ascii="黑体" w:eastAsia="黑体" w:hAnsi="黑体" w:hint="eastAsia"/>
          <w:sz w:val="32"/>
          <w:szCs w:val="32"/>
        </w:rPr>
        <w:t>评估中心</w:t>
      </w:r>
      <w:r w:rsidR="00540EC9">
        <w:rPr>
          <w:rFonts w:ascii="黑体" w:eastAsia="黑体" w:hAnsi="黑体"/>
          <w:sz w:val="32"/>
          <w:szCs w:val="32"/>
        </w:rPr>
        <w:t>设立</w:t>
      </w:r>
      <w:r>
        <w:rPr>
          <w:rFonts w:ascii="黑体" w:eastAsia="黑体" w:hAnsi="黑体" w:hint="eastAsia"/>
          <w:sz w:val="32"/>
          <w:szCs w:val="32"/>
        </w:rPr>
        <w:t>要求</w:t>
      </w:r>
    </w:p>
    <w:p w14:paraId="520D2CC3" w14:textId="77777777" w:rsidR="00FC4399" w:rsidRDefault="00540EC9" w:rsidP="00FC439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老年护理需求评估中心可以</w:t>
      </w:r>
      <w:r>
        <w:rPr>
          <w:rFonts w:ascii="仿宋" w:eastAsia="仿宋" w:hAnsi="仿宋"/>
          <w:bCs/>
          <w:sz w:val="32"/>
          <w:szCs w:val="32"/>
        </w:rPr>
        <w:t>依托</w:t>
      </w:r>
      <w:r w:rsidR="00FC4399">
        <w:rPr>
          <w:rFonts w:ascii="仿宋" w:eastAsia="仿宋" w:hAnsi="仿宋" w:hint="eastAsia"/>
          <w:bCs/>
          <w:sz w:val="32"/>
          <w:szCs w:val="32"/>
        </w:rPr>
        <w:t>医院、护理院(站)、护理中心、康复医疗中心、社区卫生服务中心</w:t>
      </w:r>
      <w:r>
        <w:rPr>
          <w:rFonts w:ascii="仿宋" w:eastAsia="仿宋" w:hAnsi="仿宋" w:hint="eastAsia"/>
          <w:bCs/>
          <w:sz w:val="32"/>
          <w:szCs w:val="32"/>
        </w:rPr>
        <w:t>（站）</w:t>
      </w:r>
      <w:r w:rsidR="00FC4399">
        <w:rPr>
          <w:rFonts w:ascii="仿宋" w:eastAsia="仿宋" w:hAnsi="仿宋" w:hint="eastAsia"/>
          <w:bCs/>
          <w:sz w:val="32"/>
          <w:szCs w:val="32"/>
        </w:rPr>
        <w:t>、乡镇卫生院、</w:t>
      </w:r>
      <w:proofErr w:type="gramStart"/>
      <w:r w:rsidR="00FC4399">
        <w:rPr>
          <w:rFonts w:ascii="仿宋" w:eastAsia="仿宋" w:hAnsi="仿宋" w:hint="eastAsia"/>
          <w:bCs/>
          <w:sz w:val="32"/>
          <w:szCs w:val="32"/>
        </w:rPr>
        <w:t>医</w:t>
      </w:r>
      <w:proofErr w:type="gramEnd"/>
      <w:r w:rsidR="00FC4399">
        <w:rPr>
          <w:rFonts w:ascii="仿宋" w:eastAsia="仿宋" w:hAnsi="仿宋" w:hint="eastAsia"/>
          <w:bCs/>
          <w:sz w:val="32"/>
          <w:szCs w:val="32"/>
        </w:rPr>
        <w:t>养结合机构中的医疗机构，以及通过家庭病床、巡诊等方式为居家老年人提供上门医疗护理服务的相关医疗机构等</w:t>
      </w:r>
      <w:r>
        <w:rPr>
          <w:rFonts w:ascii="仿宋" w:eastAsia="仿宋" w:hAnsi="仿宋" w:hint="eastAsia"/>
          <w:bCs/>
          <w:sz w:val="32"/>
          <w:szCs w:val="32"/>
        </w:rPr>
        <w:t>建立</w:t>
      </w:r>
      <w:r w:rsidR="00FC4399">
        <w:rPr>
          <w:rFonts w:ascii="仿宋" w:eastAsia="仿宋" w:hAnsi="仿宋" w:hint="eastAsia"/>
          <w:bCs/>
          <w:sz w:val="32"/>
          <w:szCs w:val="32"/>
        </w:rPr>
        <w:t>。</w:t>
      </w:r>
    </w:p>
    <w:p w14:paraId="5E7B1220" w14:textId="77777777" w:rsidR="00FC4399" w:rsidRDefault="00540EC9" w:rsidP="00FC439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FC4399">
        <w:rPr>
          <w:rFonts w:ascii="黑体" w:eastAsia="黑体" w:hAnsi="黑体" w:hint="eastAsia"/>
          <w:sz w:val="32"/>
          <w:szCs w:val="32"/>
        </w:rPr>
        <w:t>硬件设施及相关材料</w:t>
      </w:r>
    </w:p>
    <w:p w14:paraId="327334EF" w14:textId="77777777" w:rsidR="00FC4399" w:rsidRDefault="00FC4399" w:rsidP="00FC4399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（一）硬件设施</w:t>
      </w:r>
    </w:p>
    <w:p w14:paraId="08C29077" w14:textId="77777777" w:rsidR="00FC4399" w:rsidRPr="00693600" w:rsidRDefault="00540EC9" w:rsidP="00FC439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评估中心要有稳定的网络资源，</w:t>
      </w:r>
      <w:r w:rsidR="00FC4399">
        <w:rPr>
          <w:rFonts w:ascii="仿宋" w:eastAsia="仿宋" w:hAnsi="仿宋" w:hint="eastAsia"/>
          <w:bCs/>
          <w:sz w:val="32"/>
          <w:szCs w:val="32"/>
        </w:rPr>
        <w:t>至少配备电脑</w:t>
      </w:r>
      <w:r>
        <w:rPr>
          <w:rFonts w:ascii="仿宋" w:eastAsia="仿宋" w:hAnsi="仿宋" w:hint="eastAsia"/>
          <w:bCs/>
          <w:sz w:val="32"/>
          <w:szCs w:val="32"/>
        </w:rPr>
        <w:t>2</w:t>
      </w:r>
      <w:r w:rsidR="00FC4399">
        <w:rPr>
          <w:rFonts w:ascii="仿宋" w:eastAsia="仿宋" w:hAnsi="仿宋" w:hint="eastAsia"/>
          <w:bCs/>
          <w:sz w:val="32"/>
          <w:szCs w:val="32"/>
        </w:rPr>
        <w:t>台（配置满足老年护理需求评估的信息系统）、打印机</w:t>
      </w:r>
      <w:r>
        <w:rPr>
          <w:rFonts w:ascii="仿宋" w:eastAsia="仿宋" w:hAnsi="仿宋" w:hint="eastAsia"/>
          <w:bCs/>
          <w:sz w:val="32"/>
          <w:szCs w:val="32"/>
        </w:rPr>
        <w:t>2台、2</w:t>
      </w:r>
      <w:r w:rsidR="00FC4399">
        <w:rPr>
          <w:rFonts w:ascii="仿宋" w:eastAsia="仿宋" w:hAnsi="仿宋" w:hint="eastAsia"/>
          <w:bCs/>
          <w:sz w:val="32"/>
          <w:szCs w:val="32"/>
        </w:rPr>
        <w:t>间不小于30</w:t>
      </w:r>
      <w:r w:rsidR="00FC4399">
        <w:rPr>
          <w:rFonts w:ascii="仿宋" w:eastAsia="仿宋" w:hAnsi="仿宋" w:hint="eastAsia"/>
          <w:sz w:val="32"/>
          <w:szCs w:val="32"/>
        </w:rPr>
        <w:t>m</w:t>
      </w:r>
      <w:r w:rsidR="00FC4399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FC4399">
        <w:rPr>
          <w:rFonts w:ascii="仿宋" w:eastAsia="仿宋" w:hAnsi="仿宋" w:hint="eastAsia"/>
          <w:sz w:val="32"/>
          <w:szCs w:val="32"/>
        </w:rPr>
        <w:t>的护理需求评估</w:t>
      </w:r>
      <w:r w:rsidR="00FC4399" w:rsidRPr="00693600">
        <w:rPr>
          <w:rFonts w:ascii="仿宋" w:eastAsia="仿宋" w:hAnsi="仿宋" w:hint="eastAsia"/>
          <w:bCs/>
          <w:sz w:val="32"/>
          <w:szCs w:val="32"/>
        </w:rPr>
        <w:t>室、长度不少于100m的活动场地，专门用于老年</w:t>
      </w:r>
      <w:r w:rsidRPr="00693600">
        <w:rPr>
          <w:rFonts w:ascii="仿宋" w:eastAsia="仿宋" w:hAnsi="仿宋" w:hint="eastAsia"/>
          <w:bCs/>
          <w:sz w:val="32"/>
          <w:szCs w:val="32"/>
        </w:rPr>
        <w:t>护理</w:t>
      </w:r>
      <w:r w:rsidR="00FC4399" w:rsidRPr="00693600">
        <w:rPr>
          <w:rFonts w:ascii="仿宋" w:eastAsia="仿宋" w:hAnsi="仿宋" w:hint="eastAsia"/>
          <w:bCs/>
          <w:sz w:val="32"/>
          <w:szCs w:val="32"/>
        </w:rPr>
        <w:t>需求评估。</w:t>
      </w:r>
    </w:p>
    <w:p w14:paraId="2B2CDE54" w14:textId="77777777" w:rsidR="00FC4399" w:rsidRDefault="00FC4399" w:rsidP="00FC4399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（二）相关设备及材料</w:t>
      </w:r>
    </w:p>
    <w:p w14:paraId="7359FFB9" w14:textId="77777777" w:rsidR="00FC4399" w:rsidRDefault="00FC4399" w:rsidP="00FC439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 w:rsidR="00BB1F80">
        <w:rPr>
          <w:rFonts w:ascii="仿宋" w:eastAsia="仿宋" w:hAnsi="仿宋" w:hint="eastAsia"/>
          <w:bCs/>
          <w:sz w:val="32"/>
          <w:szCs w:val="32"/>
        </w:rPr>
        <w:t>老</w:t>
      </w:r>
      <w:r>
        <w:rPr>
          <w:rFonts w:ascii="仿宋" w:eastAsia="仿宋" w:hAnsi="仿宋" w:hint="eastAsia"/>
          <w:bCs/>
          <w:sz w:val="32"/>
          <w:szCs w:val="32"/>
        </w:rPr>
        <w:t>年人日常生活活动能力评估</w:t>
      </w:r>
    </w:p>
    <w:p w14:paraId="5EB459C9" w14:textId="77777777" w:rsidR="00FC4399" w:rsidRDefault="00FC4399" w:rsidP="00FC43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（1）老年人日常生活活动能力评分表、疲乏量表。</w:t>
      </w:r>
    </w:p>
    <w:p w14:paraId="47E55E58" w14:textId="77777777" w:rsidR="00FC4399" w:rsidRDefault="00FC4399" w:rsidP="00FC43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（2）桌子1把、椅子2把、拐杖2副、助行器2副、轮椅1个。</w:t>
      </w:r>
    </w:p>
    <w:p w14:paraId="45612624" w14:textId="77777777" w:rsidR="00FC4399" w:rsidRDefault="00FC4399" w:rsidP="00FC439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2.精神状态与社会参与能力评估</w:t>
      </w:r>
    </w:p>
    <w:p w14:paraId="3B011A8E" w14:textId="77777777" w:rsidR="00FC4399" w:rsidRDefault="00FC4399" w:rsidP="00FC43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（1）精神状态与社会参与能力评分表、抑郁量表、焦虑</w:t>
      </w:r>
      <w:r>
        <w:rPr>
          <w:rFonts w:ascii="仿宋" w:eastAsia="仿宋" w:hAnsi="仿宋" w:hint="eastAsia"/>
          <w:sz w:val="32"/>
          <w:szCs w:val="32"/>
        </w:rPr>
        <w:lastRenderedPageBreak/>
        <w:t>量表、强迫症状问卷。</w:t>
      </w:r>
    </w:p>
    <w:p w14:paraId="34648D82" w14:textId="77777777" w:rsidR="00FC4399" w:rsidRDefault="00FC4399" w:rsidP="00FC43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（2）钟表2个、中性笔数支。</w:t>
      </w:r>
    </w:p>
    <w:p w14:paraId="1095787D" w14:textId="77777777" w:rsidR="00FC4399" w:rsidRDefault="00FC4399" w:rsidP="00FC439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3.感知觉与沟通能力</w:t>
      </w:r>
    </w:p>
    <w:p w14:paraId="513C1918" w14:textId="77777777" w:rsidR="00FC4399" w:rsidRDefault="00FC4399" w:rsidP="00FC43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 w:hint="eastAsia"/>
          <w:bCs/>
          <w:sz w:val="32"/>
          <w:szCs w:val="32"/>
        </w:rPr>
        <w:t>感知觉与沟通能力评分表、</w:t>
      </w:r>
      <w:r>
        <w:rPr>
          <w:rFonts w:ascii="仿宋" w:eastAsia="仿宋" w:hAnsi="仿宋" w:hint="eastAsia"/>
          <w:sz w:val="32"/>
          <w:szCs w:val="32"/>
        </w:rPr>
        <w:t>意识状态评估GCS（Glasgow coma scale）计分表。</w:t>
      </w:r>
    </w:p>
    <w:p w14:paraId="099B84B7" w14:textId="77777777" w:rsidR="00FC4399" w:rsidRDefault="00FC4399" w:rsidP="00FC43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（2）国际标准视力表数张、视力棒2支。</w:t>
      </w:r>
    </w:p>
    <w:p w14:paraId="2E3F0F89" w14:textId="77777777" w:rsidR="00FC4399" w:rsidRDefault="00540EC9" w:rsidP="00FC4399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（三）评估中心</w:t>
      </w:r>
      <w:r w:rsidR="00FC4399">
        <w:rPr>
          <w:rFonts w:ascii="楷体" w:eastAsia="楷体" w:hAnsi="楷体" w:hint="eastAsia"/>
          <w:b/>
          <w:bCs/>
          <w:sz w:val="32"/>
          <w:szCs w:val="32"/>
        </w:rPr>
        <w:t>医护人员要求</w:t>
      </w:r>
    </w:p>
    <w:p w14:paraId="4443D74E" w14:textId="77777777" w:rsidR="00FC4399" w:rsidRDefault="00FC4399" w:rsidP="00FC4399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="00540EC9">
        <w:rPr>
          <w:rFonts w:ascii="仿宋" w:eastAsia="仿宋" w:hAnsi="仿宋" w:hint="eastAsia"/>
          <w:bCs/>
          <w:sz w:val="32"/>
          <w:szCs w:val="32"/>
        </w:rPr>
        <w:t>评估中心</w:t>
      </w:r>
      <w:r>
        <w:rPr>
          <w:rFonts w:ascii="仿宋" w:eastAsia="仿宋" w:hAnsi="仿宋" w:hint="eastAsia"/>
          <w:bCs/>
          <w:sz w:val="32"/>
          <w:szCs w:val="32"/>
        </w:rPr>
        <w:t>要有一定数量的医护人员配备，每个</w:t>
      </w:r>
      <w:r w:rsidR="00540EC9">
        <w:rPr>
          <w:rFonts w:ascii="仿宋" w:eastAsia="仿宋" w:hAnsi="仿宋" w:hint="eastAsia"/>
          <w:bCs/>
          <w:sz w:val="32"/>
          <w:szCs w:val="32"/>
        </w:rPr>
        <w:t>中心</w:t>
      </w:r>
      <w:r>
        <w:rPr>
          <w:rFonts w:ascii="仿宋" w:eastAsia="仿宋" w:hAnsi="仿宋" w:hint="eastAsia"/>
          <w:bCs/>
          <w:sz w:val="32"/>
          <w:szCs w:val="32"/>
        </w:rPr>
        <w:t>至少配备护士2名，医师1名。</w:t>
      </w:r>
    </w:p>
    <w:p w14:paraId="79A7B1AF" w14:textId="77777777" w:rsidR="00FC4399" w:rsidRDefault="00FC4399" w:rsidP="00FC439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评估人员应</w:t>
      </w:r>
      <w:r w:rsidR="00540EC9">
        <w:rPr>
          <w:rFonts w:ascii="仿宋" w:eastAsia="仿宋" w:hAnsi="仿宋" w:hint="eastAsia"/>
          <w:bCs/>
          <w:sz w:val="32"/>
          <w:szCs w:val="32"/>
        </w:rPr>
        <w:t>由接受过</w:t>
      </w:r>
      <w:r>
        <w:rPr>
          <w:rFonts w:ascii="仿宋" w:eastAsia="仿宋" w:hAnsi="仿宋" w:hint="eastAsia"/>
          <w:bCs/>
          <w:sz w:val="32"/>
          <w:szCs w:val="32"/>
        </w:rPr>
        <w:t>省级护理服务需求评估专业培训，并考核合格的评估师(包括医师、护士等医务人员)担任。每次评估至少由2名评估人员(至少有1名医师)共同完成。</w:t>
      </w:r>
    </w:p>
    <w:p w14:paraId="31588B6C" w14:textId="77777777" w:rsidR="00E659B1" w:rsidRDefault="00CB0692"/>
    <w:sectPr w:rsidR="00E65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EC62" w14:textId="77777777" w:rsidR="00CB0692" w:rsidRDefault="00CB0692" w:rsidP="00433D8C">
      <w:r>
        <w:separator/>
      </w:r>
    </w:p>
  </w:endnote>
  <w:endnote w:type="continuationSeparator" w:id="0">
    <w:p w14:paraId="54043748" w14:textId="77777777" w:rsidR="00CB0692" w:rsidRDefault="00CB0692" w:rsidP="0043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5821" w14:textId="77777777" w:rsidR="00CB0692" w:rsidRDefault="00CB0692" w:rsidP="00433D8C">
      <w:r>
        <w:separator/>
      </w:r>
    </w:p>
  </w:footnote>
  <w:footnote w:type="continuationSeparator" w:id="0">
    <w:p w14:paraId="71D2EF3D" w14:textId="77777777" w:rsidR="00CB0692" w:rsidRDefault="00CB0692" w:rsidP="0043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E2"/>
    <w:rsid w:val="000002CC"/>
    <w:rsid w:val="00007DB9"/>
    <w:rsid w:val="001F67E2"/>
    <w:rsid w:val="00433D8C"/>
    <w:rsid w:val="00492D2D"/>
    <w:rsid w:val="004E455B"/>
    <w:rsid w:val="00540EC9"/>
    <w:rsid w:val="00693600"/>
    <w:rsid w:val="00BB1F80"/>
    <w:rsid w:val="00CB0692"/>
    <w:rsid w:val="00CF5101"/>
    <w:rsid w:val="00DE0BE1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52DCA"/>
  <w15:chartTrackingRefBased/>
  <w15:docId w15:val="{8A835675-6608-4604-BAC5-DB0786BA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3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D8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D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2021-07-26T07:52:00Z</dcterms:created>
  <dcterms:modified xsi:type="dcterms:W3CDTF">2021-07-26T07:52:00Z</dcterms:modified>
</cp:coreProperties>
</file>