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70" w:type="dxa"/>
        <w:jc w:val="center"/>
        <w:tblCellSpacing w:w="0" w:type="dxa"/>
        <w:tblCellMar>
          <w:left w:w="0" w:type="dxa"/>
          <w:right w:w="0" w:type="dxa"/>
        </w:tblCellMar>
        <w:tblLook w:val="04A0"/>
      </w:tblPr>
      <w:tblGrid>
        <w:gridCol w:w="9183"/>
        <w:gridCol w:w="2487"/>
      </w:tblGrid>
      <w:tr w:rsidR="00E23AFB" w:rsidRPr="00E23AFB" w:rsidTr="00E23AFB">
        <w:trPr>
          <w:trHeight w:val="375"/>
          <w:tblCellSpacing w:w="0" w:type="dxa"/>
          <w:jc w:val="center"/>
        </w:trPr>
        <w:tc>
          <w:tcPr>
            <w:tcW w:w="11325" w:type="dxa"/>
            <w:vAlign w:val="center"/>
            <w:hideMark/>
          </w:tcPr>
          <w:tbl>
            <w:tblPr>
              <w:tblW w:w="5000" w:type="pct"/>
              <w:tblCellSpacing w:w="0" w:type="dxa"/>
              <w:tblCellMar>
                <w:left w:w="0" w:type="dxa"/>
                <w:right w:w="0" w:type="dxa"/>
              </w:tblCellMar>
              <w:tblLook w:val="04A0"/>
            </w:tblPr>
            <w:tblGrid>
              <w:gridCol w:w="276"/>
              <w:gridCol w:w="5785"/>
              <w:gridCol w:w="3122"/>
            </w:tblGrid>
            <w:tr w:rsidR="00E23AFB" w:rsidRPr="00E23AFB">
              <w:trPr>
                <w:tblCellSpacing w:w="0" w:type="dxa"/>
              </w:trPr>
              <w:tc>
                <w:tcPr>
                  <w:tcW w:w="150" w:type="pct"/>
                  <w:vAlign w:val="center"/>
                  <w:hideMark/>
                </w:tcPr>
                <w:p w:rsidR="00E23AFB" w:rsidRPr="00E23AFB" w:rsidRDefault="00E23AFB" w:rsidP="00E23AFB">
                  <w:pPr>
                    <w:widowControl/>
                    <w:jc w:val="left"/>
                    <w:rPr>
                      <w:rFonts w:ascii="宋体" w:eastAsia="宋体" w:hAnsi="宋体" w:cs="宋体"/>
                      <w:color w:val="000000"/>
                      <w:kern w:val="0"/>
                      <w:sz w:val="15"/>
                      <w:szCs w:val="15"/>
                    </w:rPr>
                  </w:pPr>
                  <w:r w:rsidRPr="00E23AFB">
                    <w:rPr>
                      <w:rFonts w:ascii="宋体" w:eastAsia="宋体" w:hAnsi="宋体" w:cs="宋体" w:hint="eastAsia"/>
                      <w:color w:val="000000"/>
                      <w:kern w:val="0"/>
                      <w:sz w:val="15"/>
                      <w:szCs w:val="15"/>
                    </w:rPr>
                    <w:t> </w:t>
                  </w:r>
                </w:p>
              </w:tc>
              <w:tc>
                <w:tcPr>
                  <w:tcW w:w="3150" w:type="pct"/>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1700" w:type="pct"/>
                  <w:vAlign w:val="center"/>
                  <w:hideMark/>
                </w:tcPr>
                <w:p w:rsidR="00E23AFB" w:rsidRPr="00E23AFB" w:rsidRDefault="00E23AFB" w:rsidP="00E23AFB">
                  <w:pPr>
                    <w:widowControl/>
                    <w:jc w:val="left"/>
                    <w:rPr>
                      <w:rFonts w:ascii="宋体" w:eastAsia="宋体" w:hAnsi="宋体" w:cs="宋体"/>
                      <w:color w:val="000000"/>
                      <w:kern w:val="0"/>
                      <w:sz w:val="15"/>
                      <w:szCs w:val="15"/>
                    </w:rPr>
                  </w:pPr>
                  <w:r w:rsidRPr="00E23AFB">
                    <w:rPr>
                      <w:rFonts w:ascii="宋体" w:eastAsia="宋体" w:hAnsi="宋体" w:cs="宋体" w:hint="eastAsia"/>
                      <w:color w:val="000000"/>
                      <w:kern w:val="0"/>
                      <w:sz w:val="15"/>
                      <w:szCs w:val="15"/>
                    </w:rPr>
                    <w:t> </w:t>
                  </w:r>
                </w:p>
              </w:tc>
            </w:tr>
          </w:tbl>
          <w:p w:rsidR="00E23AFB" w:rsidRPr="00E23AFB" w:rsidRDefault="00E23AFB" w:rsidP="00E23AFB">
            <w:pPr>
              <w:widowControl/>
              <w:jc w:val="left"/>
              <w:rPr>
                <w:rFonts w:ascii="宋体" w:eastAsia="宋体" w:hAnsi="宋体" w:cs="宋体"/>
                <w:color w:val="000000"/>
                <w:kern w:val="0"/>
                <w:sz w:val="15"/>
                <w:szCs w:val="15"/>
              </w:rPr>
            </w:pPr>
          </w:p>
        </w:tc>
        <w:tc>
          <w:tcPr>
            <w:tcW w:w="3075" w:type="dxa"/>
            <w:vAlign w:val="center"/>
            <w:hideMark/>
          </w:tcPr>
          <w:p w:rsidR="00E23AFB" w:rsidRPr="00E23AFB" w:rsidRDefault="00E23AFB" w:rsidP="00E23AFB">
            <w:pPr>
              <w:widowControl/>
              <w:jc w:val="left"/>
              <w:rPr>
                <w:rFonts w:ascii="宋体" w:eastAsia="宋体" w:hAnsi="宋体" w:cs="宋体"/>
                <w:color w:val="000000"/>
                <w:kern w:val="0"/>
                <w:sz w:val="15"/>
                <w:szCs w:val="15"/>
              </w:rPr>
            </w:pPr>
          </w:p>
        </w:tc>
      </w:tr>
    </w:tbl>
    <w:p w:rsidR="00E23AFB" w:rsidRPr="00E23AFB" w:rsidRDefault="00E23AFB" w:rsidP="00E23AFB">
      <w:pPr>
        <w:widowControl/>
        <w:jc w:val="left"/>
        <w:rPr>
          <w:rFonts w:ascii="宋体" w:eastAsia="宋体" w:hAnsi="宋体" w:cs="宋体"/>
          <w:vanish/>
          <w:kern w:val="0"/>
          <w:sz w:val="24"/>
          <w:szCs w:val="24"/>
        </w:rPr>
      </w:pPr>
    </w:p>
    <w:tbl>
      <w:tblPr>
        <w:tblW w:w="11670" w:type="dxa"/>
        <w:jc w:val="center"/>
        <w:tblCellSpacing w:w="0" w:type="dxa"/>
        <w:tblCellMar>
          <w:left w:w="0" w:type="dxa"/>
          <w:right w:w="0" w:type="dxa"/>
        </w:tblCellMar>
        <w:tblLook w:val="04A0"/>
      </w:tblPr>
      <w:tblGrid>
        <w:gridCol w:w="5475"/>
        <w:gridCol w:w="6195"/>
      </w:tblGrid>
      <w:tr w:rsidR="00E23AFB" w:rsidRPr="00E23AFB" w:rsidTr="00E23AFB">
        <w:trPr>
          <w:trHeight w:val="1890"/>
          <w:tblCellSpacing w:w="0" w:type="dxa"/>
          <w:jc w:val="center"/>
        </w:trPr>
        <w:tc>
          <w:tcPr>
            <w:tcW w:w="5475" w:type="dxa"/>
            <w:vAlign w:val="center"/>
            <w:hideMark/>
          </w:tcPr>
          <w:p w:rsidR="00E23AFB" w:rsidRPr="00E23AFB" w:rsidRDefault="00E23AFB" w:rsidP="00E23AFB"/>
        </w:tc>
        <w:tc>
          <w:tcPr>
            <w:tcW w:w="6195" w:type="dxa"/>
            <w:vAlign w:val="center"/>
            <w:hideMark/>
          </w:tcPr>
          <w:tbl>
            <w:tblPr>
              <w:tblW w:w="5000" w:type="pct"/>
              <w:tblCellSpacing w:w="0" w:type="dxa"/>
              <w:tblCellMar>
                <w:left w:w="0" w:type="dxa"/>
                <w:right w:w="0" w:type="dxa"/>
              </w:tblCellMar>
              <w:tblLook w:val="04A0"/>
            </w:tblPr>
            <w:tblGrid>
              <w:gridCol w:w="4950"/>
              <w:gridCol w:w="1245"/>
            </w:tblGrid>
            <w:tr w:rsidR="00E23AFB" w:rsidRPr="00E23AFB">
              <w:trPr>
                <w:trHeight w:val="2040"/>
                <w:tblCellSpacing w:w="0" w:type="dxa"/>
              </w:trPr>
              <w:tc>
                <w:tcPr>
                  <w:tcW w:w="3600" w:type="pct"/>
                  <w:vAlign w:val="center"/>
                  <w:hideMark/>
                </w:tcPr>
                <w:p w:rsidR="00E23AFB" w:rsidRPr="00E23AFB" w:rsidRDefault="00E23AFB" w:rsidP="00E23AFB">
                  <w:r w:rsidRPr="00E23AFB">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47.3pt;height:101.45pt" o:ole="">
                        <v:imagedata r:id="rId4" o:title=""/>
                      </v:shape>
                      <w:control r:id="rId5" w:name="DefaultOcxName" w:shapeid="_x0000_i1039"/>
                    </w:object>
                  </w:r>
                </w:p>
              </w:tc>
              <w:tc>
                <w:tcPr>
                  <w:tcW w:w="1400" w:type="pct"/>
                  <w:vAlign w:val="center"/>
                  <w:hideMark/>
                </w:tcPr>
                <w:p w:rsidR="00E23AFB" w:rsidRPr="00E23AFB" w:rsidRDefault="00E23AFB" w:rsidP="00E23AFB">
                  <w:r w:rsidRPr="00E23AFB">
                    <w:rPr>
                      <w:rFonts w:hint="eastAsia"/>
                    </w:rPr>
                    <w:t> </w:t>
                  </w:r>
                </w:p>
              </w:tc>
            </w:tr>
          </w:tbl>
          <w:p w:rsidR="00E23AFB" w:rsidRPr="00E23AFB" w:rsidRDefault="00E23AFB" w:rsidP="00E23AFB"/>
        </w:tc>
      </w:tr>
    </w:tbl>
    <w:p w:rsidR="00E23AFB" w:rsidRPr="00E23AFB" w:rsidRDefault="00E23AFB" w:rsidP="00E23AFB"/>
    <w:tbl>
      <w:tblPr>
        <w:tblW w:w="11700" w:type="dxa"/>
        <w:jc w:val="center"/>
        <w:tblCellSpacing w:w="0" w:type="dxa"/>
        <w:tblCellMar>
          <w:left w:w="0" w:type="dxa"/>
          <w:right w:w="0" w:type="dxa"/>
        </w:tblCellMar>
        <w:tblLook w:val="04A0"/>
      </w:tblPr>
      <w:tblGrid>
        <w:gridCol w:w="11700"/>
      </w:tblGrid>
      <w:tr w:rsidR="00E23AFB" w:rsidRPr="00E23AFB" w:rsidTr="00E23AFB">
        <w:trPr>
          <w:tblCellSpacing w:w="0" w:type="dxa"/>
          <w:jc w:val="center"/>
        </w:trPr>
        <w:tc>
          <w:tcPr>
            <w:tcW w:w="0" w:type="auto"/>
            <w:shd w:val="clear" w:color="auto" w:fill="FFFFFF"/>
            <w:vAlign w:val="center"/>
            <w:hideMark/>
          </w:tcPr>
          <w:p w:rsidR="00E23AFB" w:rsidRPr="00E23AFB" w:rsidRDefault="00E23AFB" w:rsidP="00E23AFB"/>
        </w:tc>
      </w:tr>
    </w:tbl>
    <w:p w:rsidR="00E23AFB" w:rsidRPr="00E23AFB" w:rsidRDefault="00E23AFB" w:rsidP="00E23AFB"/>
    <w:tbl>
      <w:tblPr>
        <w:tblW w:w="11690" w:type="dxa"/>
        <w:jc w:val="center"/>
        <w:tblCellSpacing w:w="0" w:type="dxa"/>
        <w:shd w:val="clear" w:color="auto" w:fill="FFFFFF"/>
        <w:tblCellMar>
          <w:left w:w="0" w:type="dxa"/>
          <w:right w:w="0" w:type="dxa"/>
        </w:tblCellMar>
        <w:tblLook w:val="04A0"/>
      </w:tblPr>
      <w:tblGrid>
        <w:gridCol w:w="7"/>
        <w:gridCol w:w="6"/>
        <w:gridCol w:w="49"/>
        <w:gridCol w:w="11560"/>
        <w:gridCol w:w="49"/>
        <w:gridCol w:w="6"/>
        <w:gridCol w:w="6"/>
        <w:gridCol w:w="7"/>
      </w:tblGrid>
      <w:tr w:rsidR="00E23AFB" w:rsidRPr="00E23AFB" w:rsidTr="00E23AFB">
        <w:trPr>
          <w:trHeight w:val="70"/>
          <w:tblCellSpacing w:w="0" w:type="dxa"/>
          <w:jc w:val="center"/>
        </w:trPr>
        <w:tc>
          <w:tcPr>
            <w:tcW w:w="12" w:type="dxa"/>
            <w:vMerge w:val="restart"/>
            <w:shd w:val="clear" w:color="auto" w:fill="FFFFFF"/>
            <w:vAlign w:val="center"/>
            <w:hideMark/>
          </w:tcPr>
          <w:p w:rsidR="00E23AFB" w:rsidRPr="00E23AFB" w:rsidRDefault="00E23AFB" w:rsidP="00E23AFB"/>
        </w:tc>
        <w:tc>
          <w:tcPr>
            <w:tcW w:w="6" w:type="dxa"/>
            <w:vMerge w:val="restart"/>
            <w:shd w:val="clear" w:color="auto" w:fill="B5B5B5"/>
            <w:vAlign w:val="center"/>
            <w:hideMark/>
          </w:tcPr>
          <w:p w:rsidR="00E23AFB" w:rsidRPr="00E23AFB" w:rsidRDefault="00E23AFB" w:rsidP="00E23AFB"/>
        </w:tc>
        <w:tc>
          <w:tcPr>
            <w:tcW w:w="11648" w:type="dxa"/>
            <w:gridSpan w:val="3"/>
            <w:shd w:val="clear" w:color="auto" w:fill="B5B5B5"/>
            <w:hideMark/>
          </w:tcPr>
          <w:p w:rsidR="00E23AFB" w:rsidRPr="00E23AFB" w:rsidRDefault="00E23AFB" w:rsidP="00E23AFB"/>
        </w:tc>
        <w:tc>
          <w:tcPr>
            <w:tcW w:w="6" w:type="dxa"/>
            <w:vMerge w:val="restart"/>
            <w:shd w:val="clear" w:color="auto" w:fill="B5B5B5"/>
            <w:vAlign w:val="center"/>
            <w:hideMark/>
          </w:tcPr>
          <w:p w:rsidR="00E23AFB" w:rsidRPr="00E23AFB" w:rsidRDefault="00E23AFB" w:rsidP="00E23AFB"/>
        </w:tc>
        <w:tc>
          <w:tcPr>
            <w:tcW w:w="6" w:type="dxa"/>
            <w:vMerge w:val="restart"/>
            <w:shd w:val="clear" w:color="auto" w:fill="DEDEDE"/>
            <w:hideMark/>
          </w:tcPr>
          <w:tbl>
            <w:tblPr>
              <w:tblW w:w="5000" w:type="pct"/>
              <w:tblCellSpacing w:w="0" w:type="dxa"/>
              <w:shd w:val="clear" w:color="auto" w:fill="FFFFFF"/>
              <w:tblCellMar>
                <w:left w:w="0" w:type="dxa"/>
                <w:right w:w="0" w:type="dxa"/>
              </w:tblCellMar>
              <w:tblLook w:val="04A0"/>
            </w:tblPr>
            <w:tblGrid>
              <w:gridCol w:w="6"/>
            </w:tblGrid>
            <w:tr w:rsidR="00E23AFB" w:rsidRPr="00E23AFB">
              <w:trPr>
                <w:trHeight w:val="75"/>
                <w:tblCellSpacing w:w="0" w:type="dxa"/>
              </w:trPr>
              <w:tc>
                <w:tcPr>
                  <w:tcW w:w="0" w:type="auto"/>
                  <w:shd w:val="clear" w:color="auto" w:fill="FFFFFF"/>
                  <w:vAlign w:val="center"/>
                  <w:hideMark/>
                </w:tcPr>
                <w:p w:rsidR="00E23AFB" w:rsidRPr="00E23AFB" w:rsidRDefault="00E23AFB" w:rsidP="00E23AFB"/>
              </w:tc>
            </w:tr>
          </w:tbl>
          <w:p w:rsidR="00E23AFB" w:rsidRPr="00E23AFB" w:rsidRDefault="00E23AFB" w:rsidP="00E23AFB"/>
        </w:tc>
        <w:tc>
          <w:tcPr>
            <w:tcW w:w="12" w:type="dxa"/>
            <w:vMerge w:val="restart"/>
            <w:shd w:val="clear" w:color="auto" w:fill="FFFFFF"/>
            <w:vAlign w:val="center"/>
            <w:hideMark/>
          </w:tcPr>
          <w:p w:rsidR="00E23AFB" w:rsidRPr="00E23AFB" w:rsidRDefault="00E23AFB" w:rsidP="00E23AFB"/>
        </w:tc>
      </w:tr>
      <w:tr w:rsidR="00E23AFB" w:rsidRPr="00E23AFB" w:rsidTr="00E23AFB">
        <w:trPr>
          <w:trHeight w:val="70"/>
          <w:tblCellSpacing w:w="0" w:type="dxa"/>
          <w:jc w:val="center"/>
        </w:trPr>
        <w:tc>
          <w:tcPr>
            <w:tcW w:w="0" w:type="auto"/>
            <w:vMerge/>
            <w:shd w:val="clear" w:color="auto" w:fill="FFFFFF"/>
            <w:vAlign w:val="center"/>
            <w:hideMark/>
          </w:tcPr>
          <w:p w:rsidR="00E23AFB" w:rsidRPr="00E23AFB" w:rsidRDefault="00E23AFB" w:rsidP="00E23AFB"/>
        </w:tc>
        <w:tc>
          <w:tcPr>
            <w:tcW w:w="0" w:type="auto"/>
            <w:vMerge/>
            <w:shd w:val="clear" w:color="auto" w:fill="FFFFFF"/>
            <w:vAlign w:val="center"/>
            <w:hideMark/>
          </w:tcPr>
          <w:p w:rsidR="00E23AFB" w:rsidRPr="00E23AFB" w:rsidRDefault="00E23AFB" w:rsidP="00E23AFB"/>
        </w:tc>
        <w:tc>
          <w:tcPr>
            <w:tcW w:w="58" w:type="dxa"/>
            <w:vMerge w:val="restart"/>
            <w:shd w:val="clear" w:color="auto" w:fill="FFFFFF"/>
            <w:hideMark/>
          </w:tcPr>
          <w:p w:rsidR="00E23AFB" w:rsidRPr="00E23AFB" w:rsidRDefault="00E23AFB" w:rsidP="00E23AFB">
            <w:r w:rsidRPr="00E23AFB">
              <w:rPr>
                <w:rFonts w:hint="eastAsia"/>
              </w:rPr>
              <w:t> </w:t>
            </w:r>
          </w:p>
        </w:tc>
        <w:tc>
          <w:tcPr>
            <w:tcW w:w="11534" w:type="dxa"/>
            <w:shd w:val="clear" w:color="auto" w:fill="FFFFFF"/>
            <w:hideMark/>
          </w:tcPr>
          <w:tbl>
            <w:tblPr>
              <w:tblW w:w="0" w:type="auto"/>
              <w:tblCellSpacing w:w="15" w:type="dxa"/>
              <w:tblCellMar>
                <w:top w:w="15" w:type="dxa"/>
                <w:left w:w="15" w:type="dxa"/>
                <w:bottom w:w="15" w:type="dxa"/>
                <w:right w:w="15" w:type="dxa"/>
              </w:tblCellMar>
              <w:tblLook w:val="04A0"/>
            </w:tblPr>
            <w:tblGrid>
              <w:gridCol w:w="96"/>
            </w:tblGrid>
            <w:tr w:rsidR="00E23AFB" w:rsidRPr="00E23AFB">
              <w:trPr>
                <w:tblCellSpacing w:w="15" w:type="dxa"/>
              </w:trPr>
              <w:tc>
                <w:tcPr>
                  <w:tcW w:w="0" w:type="auto"/>
                  <w:vAlign w:val="center"/>
                  <w:hideMark/>
                </w:tcPr>
                <w:p w:rsidR="00E23AFB" w:rsidRPr="00E23AFB" w:rsidRDefault="00E23AFB" w:rsidP="00E23AFB"/>
              </w:tc>
            </w:tr>
          </w:tbl>
          <w:p w:rsidR="00E23AFB" w:rsidRPr="00E23AFB" w:rsidRDefault="00E23AFB" w:rsidP="00E23AFB"/>
          <w:p w:rsidR="00E23AFB" w:rsidRPr="00E23AFB" w:rsidRDefault="00E23AFB" w:rsidP="00E23AFB">
            <w:pPr>
              <w:rPr>
                <w:rFonts w:hint="eastAsia"/>
              </w:rPr>
            </w:pPr>
          </w:p>
        </w:tc>
        <w:tc>
          <w:tcPr>
            <w:tcW w:w="56" w:type="dxa"/>
            <w:vMerge w:val="restart"/>
            <w:shd w:val="clear" w:color="auto" w:fill="FFFFFF"/>
            <w:hideMark/>
          </w:tcPr>
          <w:p w:rsidR="00E23AFB" w:rsidRPr="00E23AFB" w:rsidRDefault="00E23AFB" w:rsidP="00E23AFB">
            <w:r w:rsidRPr="00E23AFB">
              <w:rPr>
                <w:rFonts w:hint="eastAsia"/>
              </w:rPr>
              <w:t> </w:t>
            </w:r>
          </w:p>
        </w:tc>
        <w:tc>
          <w:tcPr>
            <w:tcW w:w="0" w:type="auto"/>
            <w:vMerge/>
            <w:shd w:val="clear" w:color="auto" w:fill="FFFFFF"/>
            <w:vAlign w:val="center"/>
            <w:hideMark/>
          </w:tcPr>
          <w:p w:rsidR="00E23AFB" w:rsidRPr="00E23AFB" w:rsidRDefault="00E23AFB" w:rsidP="00E23AFB"/>
        </w:tc>
        <w:tc>
          <w:tcPr>
            <w:tcW w:w="0" w:type="auto"/>
            <w:vMerge/>
            <w:shd w:val="clear" w:color="auto" w:fill="FFFFFF"/>
            <w:vAlign w:val="center"/>
            <w:hideMark/>
          </w:tcPr>
          <w:p w:rsidR="00E23AFB" w:rsidRPr="00E23AFB" w:rsidRDefault="00E23AFB" w:rsidP="00E23AFB"/>
        </w:tc>
        <w:tc>
          <w:tcPr>
            <w:tcW w:w="0" w:type="auto"/>
            <w:vMerge/>
            <w:shd w:val="clear" w:color="auto" w:fill="FFFFFF"/>
            <w:vAlign w:val="center"/>
            <w:hideMark/>
          </w:tcPr>
          <w:p w:rsidR="00E23AFB" w:rsidRPr="00E23AFB" w:rsidRDefault="00E23AFB" w:rsidP="00E23AFB"/>
        </w:tc>
      </w:tr>
      <w:tr w:rsidR="00E23AFB" w:rsidRPr="00E23AFB" w:rsidTr="00E23AFB">
        <w:trPr>
          <w:trHeight w:val="15"/>
          <w:tblCellSpacing w:w="0" w:type="dxa"/>
          <w:jc w:val="center"/>
        </w:trPr>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58" w:type="dxa"/>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shd w:val="clear" w:color="auto" w:fill="B9B9B9"/>
            <w:hideMark/>
          </w:tcPr>
          <w:p w:rsidR="00E23AFB" w:rsidRPr="00E23AFB" w:rsidRDefault="00E23AFB" w:rsidP="00E23AFB">
            <w:pPr>
              <w:widowControl/>
              <w:jc w:val="left"/>
              <w:rPr>
                <w:rFonts w:ascii="宋体" w:eastAsia="宋体" w:hAnsi="宋体" w:cs="宋体"/>
                <w:color w:val="000000"/>
                <w:kern w:val="0"/>
                <w:sz w:val="2"/>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r>
      <w:tr w:rsidR="00E23AFB" w:rsidRPr="00E23AFB" w:rsidTr="00E23AFB">
        <w:trPr>
          <w:tblCellSpacing w:w="0" w:type="dxa"/>
          <w:jc w:val="center"/>
        </w:trPr>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58" w:type="dxa"/>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shd w:val="clear" w:color="auto" w:fill="FFFFFF"/>
            <w:vAlign w:val="center"/>
            <w:hideMark/>
          </w:tcPr>
          <w:p w:rsidR="00E23AFB" w:rsidRPr="00E23AFB" w:rsidRDefault="00E23AFB" w:rsidP="00E23AFB">
            <w:pPr>
              <w:widowControl/>
              <w:spacing w:line="476" w:lineRule="atLeast"/>
              <w:jc w:val="center"/>
              <w:rPr>
                <w:rFonts w:ascii="宋体" w:eastAsia="宋体" w:hAnsi="宋体" w:cs="宋体"/>
                <w:b/>
                <w:bCs/>
                <w:color w:val="000000"/>
                <w:kern w:val="0"/>
                <w:sz w:val="30"/>
                <w:szCs w:val="30"/>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r>
      <w:tr w:rsidR="00E23AFB" w:rsidRPr="00E23AFB" w:rsidTr="00E81E81">
        <w:trPr>
          <w:trHeight w:val="450"/>
          <w:tblCellSpacing w:w="0" w:type="dxa"/>
          <w:jc w:val="center"/>
        </w:trPr>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58" w:type="dxa"/>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shd w:val="clear" w:color="auto" w:fill="FFFFFF"/>
            <w:vAlign w:val="center"/>
            <w:hideMark/>
          </w:tcPr>
          <w:p w:rsidR="00E23AFB" w:rsidRPr="00E23AFB" w:rsidRDefault="00E23AFB" w:rsidP="00E23AFB">
            <w:pPr>
              <w:widowControl/>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r>
      <w:tr w:rsidR="00E23AFB" w:rsidRPr="00E23AFB" w:rsidTr="00E81E81">
        <w:trPr>
          <w:tblCellSpacing w:w="0" w:type="dxa"/>
          <w:jc w:val="center"/>
        </w:trPr>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58" w:type="dxa"/>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shd w:val="clear" w:color="auto" w:fill="FFFFFF"/>
            <w:hideMark/>
          </w:tcPr>
          <w:tbl>
            <w:tblPr>
              <w:tblW w:w="4750" w:type="pct"/>
              <w:jc w:val="center"/>
              <w:tblCellSpacing w:w="0" w:type="dxa"/>
              <w:tblCellMar>
                <w:left w:w="0" w:type="dxa"/>
                <w:right w:w="0" w:type="dxa"/>
              </w:tblCellMar>
              <w:tblLook w:val="04A0"/>
            </w:tblPr>
            <w:tblGrid>
              <w:gridCol w:w="10982"/>
            </w:tblGrid>
            <w:tr w:rsidR="00E23AFB" w:rsidRPr="00E23AFB">
              <w:trPr>
                <w:tblCellSpacing w:w="0" w:type="dxa"/>
                <w:jc w:val="center"/>
              </w:trPr>
              <w:tc>
                <w:tcPr>
                  <w:tcW w:w="0" w:type="auto"/>
                  <w:vAlign w:val="center"/>
                  <w:hideMark/>
                </w:tcPr>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方正小标宋简体" w:eastAsia="方正小标宋简体" w:hAnsi="宋体" w:cs="宋体" w:hint="eastAsia"/>
                      <w:color w:val="000000"/>
                      <w:spacing w:val="4"/>
                      <w:kern w:val="0"/>
                      <w:sz w:val="40"/>
                      <w:szCs w:val="40"/>
                    </w:rPr>
                    <w:t>河南省民政厅 河南省发展和改革委员会</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方正小标宋简体" w:eastAsia="方正小标宋简体" w:hAnsi="宋体" w:cs="宋体" w:hint="eastAsia"/>
                      <w:color w:val="000000"/>
                      <w:spacing w:val="4"/>
                      <w:kern w:val="0"/>
                      <w:sz w:val="40"/>
                      <w:szCs w:val="40"/>
                    </w:rPr>
                    <w:t>关于印发《河南省民政事业发展</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方正小标宋简体" w:eastAsia="方正小标宋简体" w:hAnsi="宋体" w:cs="宋体" w:hint="eastAsia"/>
                      <w:color w:val="000000"/>
                      <w:spacing w:val="4"/>
                      <w:kern w:val="0"/>
                      <w:sz w:val="40"/>
                      <w:szCs w:val="40"/>
                    </w:rPr>
                    <w:t>第十三个五年规划》的通知</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宋体" w:eastAsia="宋体" w:hAnsi="宋体" w:cs="宋体" w:hint="eastAsia"/>
                      <w:color w:val="000000"/>
                      <w:kern w:val="0"/>
                      <w:sz w:val="20"/>
                      <w:szCs w:val="20"/>
                    </w:rPr>
                    <w:t> </w:t>
                  </w:r>
                  <w:r w:rsidRPr="00E23AFB">
                    <w:rPr>
                      <w:rFonts w:ascii="仿宋_GB2312" w:eastAsia="仿宋_GB2312" w:hAnsi="宋体" w:cs="宋体" w:hint="eastAsia"/>
                      <w:color w:val="000000"/>
                      <w:kern w:val="0"/>
                      <w:sz w:val="30"/>
                      <w:szCs w:val="30"/>
                    </w:rPr>
                    <w:t>豫民文〔2016〕453号</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各省辖市民政局、发展改革委，各省直管县（市）民政局、发展改革委：</w:t>
                  </w:r>
                </w:p>
                <w:p w:rsidR="00E23AFB" w:rsidRPr="00E23AFB" w:rsidRDefault="00E23AFB" w:rsidP="00E23AFB">
                  <w:pPr>
                    <w:widowControl/>
                    <w:spacing w:line="560" w:lineRule="atLeast"/>
                    <w:ind w:firstLine="610"/>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为贯彻落实《河南省人民政府关于印发河南省国民经济和社会发展第十三个五年规划纲要的通知》（豫政〔2016〕22号）和《民政部 国家发展改革委员会关于印发民政事业发展第十三个五年规划的通知》（民发〔2016〕107号）精神，结合我省实际，制定《河南省民政事业发展第十三个五年规划》。现印发你们，请认真组织实施。</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宋体" w:eastAsia="宋体" w:hAnsi="宋体" w:cs="宋体" w:hint="eastAsia"/>
                      <w:color w:val="000000"/>
                      <w:kern w:val="0"/>
                      <w:sz w:val="20"/>
                      <w:szCs w:val="20"/>
                    </w:rPr>
                    <w:t> </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宋体" w:eastAsia="宋体" w:hAnsi="宋体" w:cs="宋体" w:hint="eastAsia"/>
                      <w:color w:val="000000"/>
                      <w:kern w:val="0"/>
                      <w:sz w:val="20"/>
                      <w:szCs w:val="20"/>
                    </w:rPr>
                    <w:t> </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宋体" w:eastAsia="宋体" w:hAnsi="宋体" w:cs="宋体" w:hint="eastAsia"/>
                      <w:color w:val="000000"/>
                      <w:kern w:val="0"/>
                      <w:sz w:val="20"/>
                      <w:szCs w:val="20"/>
                    </w:rPr>
                    <w:t> </w:t>
                  </w:r>
                </w:p>
                <w:p w:rsidR="00E23AFB" w:rsidRPr="00E23AFB" w:rsidRDefault="00E23AFB" w:rsidP="00E23AFB">
                  <w:pPr>
                    <w:widowControl/>
                    <w:spacing w:line="560" w:lineRule="atLeast"/>
                    <w:ind w:firstLine="2283"/>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河南省民政厅</w:t>
                  </w:r>
                  <w:r w:rsidRPr="00E23AFB">
                    <w:rPr>
                      <w:rFonts w:ascii="仿宋_GB2312" w:eastAsia="仿宋_GB2312" w:hAnsi="宋体" w:cs="宋体" w:hint="eastAsia"/>
                      <w:color w:val="000000"/>
                      <w:kern w:val="0"/>
                      <w:sz w:val="30"/>
                      <w:szCs w:val="30"/>
                    </w:rPr>
                    <w:t>  </w:t>
                  </w:r>
                  <w:r w:rsidRPr="00E23AFB">
                    <w:rPr>
                      <w:rFonts w:ascii="仿宋_GB2312" w:eastAsia="仿宋_GB2312" w:hAnsi="宋体" w:cs="宋体" w:hint="eastAsia"/>
                      <w:color w:val="000000"/>
                      <w:kern w:val="0"/>
                      <w:sz w:val="30"/>
                    </w:rPr>
                    <w:t> </w:t>
                  </w:r>
                  <w:r w:rsidRPr="00E23AFB">
                    <w:rPr>
                      <w:rFonts w:ascii="仿宋_GB2312" w:eastAsia="仿宋_GB2312" w:hAnsi="宋体" w:cs="宋体" w:hint="eastAsia"/>
                      <w:color w:val="000000"/>
                      <w:spacing w:val="-20"/>
                      <w:kern w:val="0"/>
                      <w:sz w:val="30"/>
                      <w:szCs w:val="30"/>
                    </w:rPr>
                    <w:t>河南省发展和改革委员会</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                     </w:t>
                  </w:r>
                  <w:r w:rsidRPr="00E23AFB">
                    <w:rPr>
                      <w:rFonts w:ascii="仿宋_GB2312" w:eastAsia="仿宋_GB2312" w:hAnsi="宋体" w:cs="宋体" w:hint="eastAsia"/>
                      <w:color w:val="000000"/>
                      <w:kern w:val="0"/>
                      <w:sz w:val="30"/>
                      <w:szCs w:val="30"/>
                    </w:rPr>
                    <w:t xml:space="preserve"> 2016年11月21日</w:t>
                  </w:r>
                </w:p>
                <w:p w:rsidR="00E23AFB" w:rsidRPr="00E23AFB" w:rsidRDefault="00E23AFB" w:rsidP="00E23AFB">
                  <w:pPr>
                    <w:widowControl/>
                    <w:spacing w:line="301" w:lineRule="atLeast"/>
                    <w:jc w:val="left"/>
                    <w:rPr>
                      <w:rFonts w:ascii="宋体" w:eastAsia="宋体" w:hAnsi="宋体" w:cs="宋体" w:hint="eastAsia"/>
                      <w:color w:val="000000"/>
                      <w:kern w:val="0"/>
                      <w:sz w:val="20"/>
                      <w:szCs w:val="20"/>
                    </w:rPr>
                  </w:pPr>
                  <w:r w:rsidRPr="00E23AFB">
                    <w:rPr>
                      <w:rFonts w:ascii="方正小标宋简体" w:eastAsia="方正小标宋简体" w:hAnsi="宋体" w:cs="宋体" w:hint="eastAsia"/>
                      <w:color w:val="000000"/>
                      <w:kern w:val="0"/>
                      <w:sz w:val="40"/>
                      <w:szCs w:val="40"/>
                    </w:rPr>
                    <w:br w:type="textWrapping" w:clear="all"/>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方正小标宋简体" w:eastAsia="方正小标宋简体" w:hAnsi="宋体" w:cs="宋体" w:hint="eastAsia"/>
                      <w:color w:val="000000"/>
                      <w:kern w:val="0"/>
                      <w:sz w:val="40"/>
                      <w:szCs w:val="40"/>
                    </w:rPr>
                    <w:t>河南省民政事业发展第十三个五年规划</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宋体" w:eastAsia="宋体" w:hAnsi="宋体" w:cs="宋体" w:hint="eastAsia"/>
                      <w:color w:val="000000"/>
                      <w:kern w:val="0"/>
                      <w:sz w:val="20"/>
                      <w:szCs w:val="20"/>
                    </w:rPr>
                    <w:t> </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为推进“十三五”时期我省民政事业持续健康发展，依据民政部、国家发展改革委员会制定的《民政事业发展第十三个五年规划》和《河南省国民经济和社会发展第十三个五年规划纲要》，制定本规划。</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bookmarkStart w:id="0" w:name="_Toc438536481"/>
                  <w:r w:rsidRPr="00E23AFB">
                    <w:rPr>
                      <w:rFonts w:ascii="黑体" w:eastAsia="黑体" w:hAnsi="宋体" w:cs="宋体" w:hint="eastAsia"/>
                      <w:color w:val="000000"/>
                      <w:kern w:val="0"/>
                      <w:sz w:val="30"/>
                    </w:rPr>
                    <w:t>第一章</w:t>
                  </w:r>
                  <w:r w:rsidRPr="00E23AFB">
                    <w:rPr>
                      <w:rFonts w:ascii="黑体" w:eastAsia="黑体" w:hAnsi="宋体" w:cs="宋体" w:hint="eastAsia"/>
                      <w:color w:val="000000"/>
                      <w:kern w:val="0"/>
                      <w:sz w:val="30"/>
                    </w:rPr>
                    <w:t> </w:t>
                  </w:r>
                  <w:r w:rsidRPr="00E23AFB">
                    <w:rPr>
                      <w:rFonts w:ascii="黑体" w:eastAsia="黑体" w:hAnsi="宋体" w:cs="宋体" w:hint="eastAsia"/>
                      <w:color w:val="000000"/>
                      <w:kern w:val="0"/>
                      <w:sz w:val="30"/>
                    </w:rPr>
                    <w:t>发展思路</w:t>
                  </w:r>
                  <w:bookmarkEnd w:id="0"/>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十三五”时期是我省全面建成小康社会的决胜期，是全面深化改革、转变经济发展方式的攻坚期，保障和改善民生、发展社会事业等各项任务非常艰巨。全省民政系统必须深刻认识并准确把握经济社会发展的新变化、新特征、新趋势，凝心聚力，砥砺奋进，积极开创我省民政事业发展新局面。</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第一节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发展基础</w:t>
                  </w:r>
                </w:p>
                <w:p w:rsidR="00E23AFB" w:rsidRPr="00E23AFB" w:rsidRDefault="00E23AFB" w:rsidP="00E23AFB">
                  <w:pPr>
                    <w:widowControl/>
                    <w:spacing w:line="560" w:lineRule="atLeast"/>
                    <w:ind w:firstLine="606"/>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spacing w:val="-4"/>
                      <w:kern w:val="0"/>
                      <w:sz w:val="30"/>
                      <w:szCs w:val="30"/>
                    </w:rPr>
                    <w:t>“十二五”时期，在省委、省政府的正确领导下，民政系统认真贯彻落实《河南省国民经济和社会发展第十二个五年规划纲要》，着力落实《河南省民政事业发展第十二个五年规划》、《河南省社会养老服务体系建设规划（2011—2015年）》、《河南省社区服务体系建设规划（2011—2015年）》等规划，全力推动民政事业科学发</w:t>
                  </w:r>
                  <w:r w:rsidRPr="00E23AFB">
                    <w:rPr>
                      <w:rFonts w:ascii="仿宋_GB2312" w:eastAsia="仿宋_GB2312" w:hAnsi="宋体" w:cs="宋体" w:hint="eastAsia"/>
                      <w:color w:val="000000"/>
                      <w:spacing w:val="-6"/>
                      <w:kern w:val="0"/>
                      <w:sz w:val="30"/>
                      <w:szCs w:val="30"/>
                    </w:rPr>
                    <w:t>展，在保障基本民生、参与相关社会治理、增强基层民主活力和社会自治功能、服务国防和军队建设、提</w:t>
                  </w:r>
                  <w:r w:rsidRPr="00E23AFB">
                    <w:rPr>
                      <w:rFonts w:ascii="仿宋_GB2312" w:eastAsia="仿宋_GB2312" w:hAnsi="宋体" w:cs="宋体" w:hint="eastAsia"/>
                      <w:color w:val="000000"/>
                      <w:spacing w:val="-4"/>
                      <w:kern w:val="0"/>
                      <w:sz w:val="30"/>
                      <w:szCs w:val="30"/>
                    </w:rPr>
                    <w:t>供专项社会事务管理服务等</w:t>
                  </w:r>
                  <w:r w:rsidRPr="00E23AFB">
                    <w:rPr>
                      <w:rFonts w:ascii="仿宋_GB2312" w:eastAsia="仿宋_GB2312" w:hAnsi="宋体" w:cs="宋体" w:hint="eastAsia"/>
                      <w:color w:val="000000"/>
                      <w:spacing w:val="-6"/>
                      <w:kern w:val="0"/>
                      <w:sz w:val="30"/>
                      <w:szCs w:val="30"/>
                    </w:rPr>
                    <w:t>方面，取得了显著成绩，基本完成了“十二五”规划的主要目标任务。</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托底性民生保障制度初步建立，城乡低保、农村五保保障标准和补差水平大幅提高，社会救助标准稳步提升，低保标准动态调整机制、社会救助保障标准与物价上涨挂钩联动机制普遍建立，“十二五”期间城乡最低生活保障标准年均增长率均超过10%，分别达到380元/人.月和2600元/人.年；医疗救助“一站式”同步结算全面实行，医疗救助、临时救助等专项救助范围有序扩大，</w:t>
                  </w:r>
                  <w:r w:rsidRPr="00E23AFB">
                    <w:rPr>
                      <w:rFonts w:ascii="仿宋_GB2312" w:eastAsia="仿宋_GB2312" w:hAnsi="宋体" w:cs="宋体" w:hint="eastAsia"/>
                      <w:color w:val="000000"/>
                      <w:spacing w:val="-2"/>
                      <w:kern w:val="0"/>
                      <w:sz w:val="30"/>
                      <w:szCs w:val="30"/>
                    </w:rPr>
                    <w:t>社会救助能力显著提升，残疾人和儿童福利保障进一步加强。孤儿基本生活最低养育标准得到落实，适度普惠型儿童福利制度建设、县级社会福利中心建设和残疾人福利工作稳步推进，困难残疾人生活补贴、重度残疾人护理补贴、孤儿基本生活保障等制度普遍建立。流浪乞讨救助机构和救助能力建设有效加强，慈善组织快速增长，社会捐赠稳步增加，社会福利和慈善服务能力显著增强。养老服务体系更加完善，社会力量兴办养老服务机构得到鼓励支持，养老服务基础设施建设实现跨越发展，每千名老人拥有养老床位数达到32.2张；养老服务信息化建设全面推进，以居家养老为基础、社区养老为依托、机构养老为支撑的社会养老服务体系初步形成。</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社会组织管理体制改革持续推进，行业协会商会类、科技类、公益慈善类、城乡社区服务类社会组织实现直接登记，社会组织数量大幅增长，达到29216家。政府向社会组织购买服务机制不断完善，社会组织党建工作不断加强，社会组织培育管理工作成效显著。城市社区服务功能和服务能力全面提升，农村社区建设步伐加快，社区治理和服务创新实验深入开展，基层群众自治不断深化，城乡社区协商有效加强，社区治理和居民自治水平明显</w:t>
                  </w:r>
                  <w:r w:rsidRPr="00E23AFB">
                    <w:rPr>
                      <w:rFonts w:ascii="仿宋_GB2312" w:eastAsia="仿宋_GB2312" w:hAnsi="宋体" w:cs="宋体" w:hint="eastAsia"/>
                      <w:color w:val="000000"/>
                      <w:spacing w:val="4"/>
                      <w:kern w:val="0"/>
                      <w:sz w:val="30"/>
                      <w:szCs w:val="30"/>
                    </w:rPr>
                    <w:t>提高。双拥优抚安置政策有效落实，优抚对象三级服务网络建设</w:t>
                  </w:r>
                  <w:r w:rsidRPr="00E23AFB">
                    <w:rPr>
                      <w:rFonts w:ascii="仿宋_GB2312" w:eastAsia="仿宋_GB2312" w:hAnsi="宋体" w:cs="宋体" w:hint="eastAsia"/>
                      <w:color w:val="000000"/>
                      <w:kern w:val="0"/>
                      <w:sz w:val="30"/>
                      <w:szCs w:val="30"/>
                    </w:rPr>
                    <w:t>持续推进，“送政策、送温暖、送帮扶”活动全面开展，退役士</w:t>
                  </w:r>
                  <w:r w:rsidRPr="00E23AFB">
                    <w:rPr>
                      <w:rFonts w:ascii="仿宋_GB2312" w:eastAsia="仿宋_GB2312" w:hAnsi="宋体" w:cs="宋体" w:hint="eastAsia"/>
                      <w:color w:val="000000"/>
                      <w:spacing w:val="-4"/>
                      <w:kern w:val="0"/>
                      <w:sz w:val="30"/>
                      <w:szCs w:val="30"/>
                    </w:rPr>
                    <w:t>兵安置和军休服务改革力度加大，双拥共建深度融合发展，有效服务了国防和军队建设。民办社会工作服务机构稳步发展，志愿者队伍不断壮大，“三区”计划全面实施，“三社联动”稳步推进，专业社会工作发展取得新的突破。综合防灾减灾协调机制进一步完善，救灾标准、遥感监测和信息管理能力、物资储备库建设水平明显提升，灾害应急救助有效开展。社会事务管理服务更加规范，殡葬、婚姻登记、收养、区划地名等专项社会事务管理服务水平明显提高。</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同时，也应看到，我省民政事业发展与全面建成小康社会的宏伟蓝图相比，与实现中原崛起河南振兴富民强省、让中原更加出彩</w:t>
                  </w:r>
                  <w:r w:rsidRPr="00E23AFB">
                    <w:rPr>
                      <w:rFonts w:ascii="仿宋_GB2312" w:eastAsia="仿宋_GB2312" w:hAnsi="宋体" w:cs="宋体" w:hint="eastAsia"/>
                      <w:color w:val="000000"/>
                      <w:kern w:val="0"/>
                      <w:sz w:val="30"/>
                      <w:szCs w:val="30"/>
                      <w:shd w:val="clear" w:color="auto" w:fill="FFFFFF"/>
                    </w:rPr>
                    <w:t>的</w:t>
                  </w:r>
                  <w:r w:rsidRPr="00E23AFB">
                    <w:rPr>
                      <w:rFonts w:ascii="仿宋_GB2312" w:eastAsia="仿宋_GB2312" w:hAnsi="宋体" w:cs="宋体" w:hint="eastAsia"/>
                      <w:color w:val="000000"/>
                      <w:kern w:val="0"/>
                      <w:sz w:val="30"/>
                      <w:szCs w:val="30"/>
                    </w:rPr>
                    <w:t>目标要求相比，与国内先进省份的发展水平相比，仍存在一些突出问题。</w:t>
                  </w:r>
                  <w:r w:rsidRPr="00E23AFB">
                    <w:rPr>
                      <w:rFonts w:ascii="仿宋_GB2312" w:eastAsia="仿宋_GB2312" w:hAnsi="宋体" w:cs="宋体" w:hint="eastAsia"/>
                      <w:b/>
                      <w:bCs/>
                      <w:color w:val="000000"/>
                      <w:kern w:val="0"/>
                      <w:sz w:val="30"/>
                    </w:rPr>
                    <w:t>一是体制机制尚不健全。</w:t>
                  </w:r>
                  <w:r w:rsidRPr="00E23AFB">
                    <w:rPr>
                      <w:rFonts w:ascii="仿宋_GB2312" w:eastAsia="仿宋_GB2312" w:hAnsi="宋体" w:cs="宋体" w:hint="eastAsia"/>
                      <w:color w:val="000000"/>
                      <w:kern w:val="0"/>
                      <w:sz w:val="30"/>
                      <w:szCs w:val="30"/>
                    </w:rPr>
                    <w:t>民政法治建设相对滞后，政策规范不够完善，对新兴领域发展缺乏有效指导，与民政事业改革发展不相适应；部门间信息共享、协调配合效率不高，沟通协作机制亟需强化；社会公共服务市场化改革进展缓慢。</w:t>
                  </w:r>
                  <w:r w:rsidRPr="00E23AFB">
                    <w:rPr>
                      <w:rFonts w:ascii="仿宋_GB2312" w:eastAsia="仿宋_GB2312" w:hAnsi="宋体" w:cs="宋体" w:hint="eastAsia"/>
                      <w:b/>
                      <w:bCs/>
                      <w:color w:val="000000"/>
                      <w:kern w:val="0"/>
                      <w:sz w:val="30"/>
                    </w:rPr>
                    <w:t>二是服务能力总体偏弱。</w:t>
                  </w:r>
                  <w:r w:rsidRPr="00E23AFB">
                    <w:rPr>
                      <w:rFonts w:ascii="仿宋_GB2312" w:eastAsia="仿宋_GB2312" w:hAnsi="宋体" w:cs="宋体" w:hint="eastAsia"/>
                      <w:color w:val="000000"/>
                      <w:kern w:val="0"/>
                      <w:sz w:val="30"/>
                      <w:szCs w:val="30"/>
                    </w:rPr>
                    <w:t>民政公共服务基础设施依然薄弱，基层民政公共服务力量严重不足，社会组织和志愿服务发展水平不高，社会公共服务普惠化进程亟待提速。</w:t>
                  </w:r>
                  <w:r w:rsidRPr="00E23AFB">
                    <w:rPr>
                      <w:rFonts w:ascii="仿宋_GB2312" w:eastAsia="仿宋_GB2312" w:hAnsi="宋体" w:cs="宋体" w:hint="eastAsia"/>
                      <w:b/>
                      <w:bCs/>
                      <w:color w:val="000000"/>
                      <w:kern w:val="0"/>
                      <w:sz w:val="30"/>
                    </w:rPr>
                    <w:t>三是民政公共服务设施建设投入不足。</w:t>
                  </w:r>
                  <w:r w:rsidRPr="00E23AFB">
                    <w:rPr>
                      <w:rFonts w:ascii="仿宋_GB2312" w:eastAsia="仿宋_GB2312" w:hAnsi="宋体" w:cs="宋体" w:hint="eastAsia"/>
                      <w:color w:val="000000"/>
                      <w:kern w:val="0"/>
                      <w:sz w:val="30"/>
                      <w:szCs w:val="30"/>
                    </w:rPr>
                    <w:t>“重设施，轻服务”、“有钱盖楼，没钱运营”的现象客观存在。民政社会服务发展资金来源渠道较为单一，社会力量参与社会公共服务渠道较少，地区间社会公共服务资金投入不平衡。</w:t>
                  </w:r>
                  <w:r w:rsidRPr="00E23AFB">
                    <w:rPr>
                      <w:rFonts w:ascii="仿宋_GB2312" w:eastAsia="仿宋_GB2312" w:hAnsi="宋体" w:cs="宋体" w:hint="eastAsia"/>
                      <w:b/>
                      <w:bCs/>
                      <w:color w:val="000000"/>
                      <w:kern w:val="0"/>
                      <w:sz w:val="30"/>
                    </w:rPr>
                    <w:t>四是人才队伍建设较为滞后。</w:t>
                  </w:r>
                  <w:r w:rsidRPr="00E23AFB">
                    <w:rPr>
                      <w:rFonts w:ascii="仿宋_GB2312" w:eastAsia="仿宋_GB2312" w:hAnsi="宋体" w:cs="宋体" w:hint="eastAsia"/>
                      <w:color w:val="000000"/>
                      <w:kern w:val="0"/>
                      <w:sz w:val="30"/>
                      <w:szCs w:val="30"/>
                    </w:rPr>
                    <w:t>基层民政工作力量薄弱，队伍素质亟待提高；养老机构管理人员和专业护理人员、社区公共服务人员等社会公共服务人才队伍专业化水平不高。</w:t>
                  </w:r>
                </w:p>
                <w:p w:rsidR="00E23AFB" w:rsidRPr="00E23AFB" w:rsidRDefault="00E23AFB" w:rsidP="00E23AFB">
                  <w:pPr>
                    <w:widowControl/>
                    <w:spacing w:before="100" w:beforeAutospacing="1" w:after="100" w:afterAutospacing="1" w:line="301" w:lineRule="atLeast"/>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br w:type="textWrapping" w:clear="all"/>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黑体" w:eastAsia="黑体" w:hAnsi="宋体" w:cs="宋体" w:hint="eastAsia"/>
                      <w:color w:val="000000"/>
                      <w:kern w:val="0"/>
                      <w:sz w:val="28"/>
                      <w:szCs w:val="28"/>
                    </w:rPr>
                    <w:t>专栏1</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2"/>
                    </w:rPr>
                    <w:t>河南省“十二五”民政事业发展主要指标完成情况</w:t>
                  </w:r>
                </w:p>
                <w:tbl>
                  <w:tblPr>
                    <w:tblW w:w="0" w:type="auto"/>
                    <w:jc w:val="center"/>
                    <w:tblCellMar>
                      <w:left w:w="0" w:type="dxa"/>
                      <w:right w:w="0" w:type="dxa"/>
                    </w:tblCellMar>
                    <w:tblLook w:val="04A0"/>
                  </w:tblPr>
                  <w:tblGrid>
                    <w:gridCol w:w="1057"/>
                    <w:gridCol w:w="2198"/>
                    <w:gridCol w:w="1799"/>
                    <w:gridCol w:w="773"/>
                    <w:gridCol w:w="1076"/>
                    <w:gridCol w:w="1819"/>
                  </w:tblGrid>
                  <w:tr w:rsidR="00E23AFB" w:rsidRPr="00E23AFB">
                    <w:trPr>
                      <w:trHeight w:val="315"/>
                      <w:jc w:val="center"/>
                    </w:trPr>
                    <w:tc>
                      <w:tcPr>
                        <w:tcW w:w="1057" w:type="dxa"/>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分 类</w:t>
                        </w:r>
                      </w:p>
                    </w:tc>
                    <w:tc>
                      <w:tcPr>
                        <w:tcW w:w="3997" w:type="dxa"/>
                        <w:gridSpan w:val="2"/>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指</w:t>
                        </w:r>
                        <w:r w:rsidRPr="00E23AFB">
                          <w:rPr>
                            <w:rFonts w:ascii="仿宋_GB2312" w:eastAsia="仿宋_GB2312" w:hAnsi="宋体" w:cs="宋体" w:hint="eastAsia"/>
                            <w:b/>
                            <w:bCs/>
                            <w:color w:val="000000"/>
                            <w:kern w:val="0"/>
                            <w:sz w:val="24"/>
                            <w:szCs w:val="24"/>
                          </w:rPr>
                          <w:t> </w:t>
                        </w:r>
                        <w:r w:rsidRPr="00E23AFB">
                          <w:rPr>
                            <w:rFonts w:ascii="仿宋_GB2312" w:eastAsia="仿宋_GB2312" w:hAnsi="宋体" w:cs="宋体" w:hint="eastAsia"/>
                            <w:b/>
                            <w:bCs/>
                            <w:color w:val="000000"/>
                            <w:kern w:val="0"/>
                            <w:sz w:val="24"/>
                            <w:szCs w:val="24"/>
                          </w:rPr>
                          <w:t>标</w:t>
                        </w:r>
                      </w:p>
                    </w:tc>
                    <w:tc>
                      <w:tcPr>
                        <w:tcW w:w="773" w:type="dxa"/>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单位</w:t>
                        </w:r>
                      </w:p>
                    </w:tc>
                    <w:tc>
                      <w:tcPr>
                        <w:tcW w:w="1076" w:type="dxa"/>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2010年</w:t>
                        </w:r>
                      </w:p>
                    </w:tc>
                    <w:tc>
                      <w:tcPr>
                        <w:tcW w:w="1819" w:type="dxa"/>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2015年</w:t>
                        </w:r>
                      </w:p>
                    </w:tc>
                  </w:tr>
                  <w:tr w:rsidR="00E23AFB" w:rsidRPr="00E23AFB">
                    <w:trPr>
                      <w:trHeight w:val="315"/>
                      <w:jc w:val="center"/>
                    </w:trPr>
                    <w:tc>
                      <w:tcPr>
                        <w:tcW w:w="1057" w:type="dxa"/>
                        <w:vMerge w:val="restart"/>
                        <w:tcBorders>
                          <w:top w:val="nil"/>
                          <w:left w:val="single" w:sz="8" w:space="0" w:color="auto"/>
                          <w:bottom w:val="single" w:sz="8" w:space="0" w:color="000000"/>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基本</w:t>
                        </w:r>
                      </w:p>
                      <w:p w:rsidR="00E23AFB" w:rsidRPr="00E23AFB" w:rsidRDefault="00E23AFB" w:rsidP="00E23AFB">
                        <w:pPr>
                          <w:widowControl/>
                          <w:spacing w:line="560" w:lineRule="atLeast"/>
                          <w:jc w:val="center"/>
                          <w:textAlignment w:val="center"/>
                          <w:rPr>
                            <w:rFonts w:ascii="宋体" w:eastAsia="宋体" w:hAnsi="宋体" w:cs="宋体" w:hint="eastAsia"/>
                            <w:color w:val="000000"/>
                            <w:kern w:val="0"/>
                            <w:sz w:val="15"/>
                            <w:szCs w:val="15"/>
                          </w:rPr>
                        </w:pPr>
                        <w:r w:rsidRPr="00E23AFB">
                          <w:rPr>
                            <w:rFonts w:ascii="仿宋_GB2312" w:eastAsia="仿宋_GB2312" w:hAnsi="宋体" w:cs="宋体" w:hint="eastAsia"/>
                            <w:color w:val="000000"/>
                            <w:kern w:val="0"/>
                            <w:sz w:val="24"/>
                            <w:szCs w:val="24"/>
                          </w:rPr>
                          <w:t>民生</w:t>
                        </w:r>
                      </w:p>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保障</w:t>
                        </w:r>
                      </w:p>
                    </w:tc>
                    <w:tc>
                      <w:tcPr>
                        <w:tcW w:w="2198" w:type="dxa"/>
                        <w:vMerge w:val="restart"/>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城市低保</w:t>
                        </w:r>
                      </w:p>
                    </w:tc>
                    <w:tc>
                      <w:tcPr>
                        <w:tcW w:w="179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保障标准</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元/月</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186</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380</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179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保障人数</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万人</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148.2</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107.91</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2198" w:type="dxa"/>
                        <w:vMerge w:val="restart"/>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 xml:space="preserve">农村低保　</w:t>
                        </w:r>
                      </w:p>
                    </w:tc>
                    <w:tc>
                      <w:tcPr>
                        <w:tcW w:w="179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保障标准</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元/年</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1200</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2600</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179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保障人数</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万人</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369.2</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392.9</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2198" w:type="dxa"/>
                        <w:vMerge w:val="restart"/>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五保集中供养</w:t>
                        </w:r>
                      </w:p>
                    </w:tc>
                    <w:tc>
                      <w:tcPr>
                        <w:tcW w:w="179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保障标准</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元/年</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2000</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3800</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179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保障人数</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万人</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20.8</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16.5</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2198" w:type="dxa"/>
                        <w:vMerge w:val="restart"/>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五保分散供养</w:t>
                        </w:r>
                      </w:p>
                    </w:tc>
                    <w:tc>
                      <w:tcPr>
                        <w:tcW w:w="179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保障标准</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元/年</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1200</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2800</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tcBorders>
                          <w:top w:val="nil"/>
                          <w:left w:val="nil"/>
                          <w:bottom w:val="single" w:sz="8" w:space="0" w:color="auto"/>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179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保障人数</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万人</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26.9</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32.1</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医疗救助资金支出</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亿元</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7.1</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7.9</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大病救助水平</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元/次</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1250.3</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993</w:t>
                        </w:r>
                      </w:p>
                    </w:tc>
                  </w:tr>
                  <w:tr w:rsidR="00E23AFB" w:rsidRPr="00E23AFB">
                    <w:trPr>
                      <w:trHeight w:val="315"/>
                      <w:jc w:val="center"/>
                    </w:trPr>
                    <w:tc>
                      <w:tcPr>
                        <w:tcW w:w="1057" w:type="dxa"/>
                        <w:vMerge w:val="restart"/>
                        <w:tcBorders>
                          <w:top w:val="nil"/>
                          <w:left w:val="single" w:sz="8" w:space="0" w:color="auto"/>
                          <w:bottom w:val="single" w:sz="8" w:space="0" w:color="000000"/>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养老</w:t>
                        </w:r>
                      </w:p>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服务</w:t>
                        </w: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各类养老床位</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万张</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26.5</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47.3</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每千名老人拥有床位</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张</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28.49</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32.2</w:t>
                        </w:r>
                      </w:p>
                    </w:tc>
                  </w:tr>
                  <w:tr w:rsidR="00E23AFB" w:rsidRPr="00E23AFB">
                    <w:trPr>
                      <w:trHeight w:val="315"/>
                      <w:jc w:val="center"/>
                    </w:trPr>
                    <w:tc>
                      <w:tcPr>
                        <w:tcW w:w="1057" w:type="dxa"/>
                        <w:vMerge w:val="restart"/>
                        <w:tcBorders>
                          <w:top w:val="nil"/>
                          <w:left w:val="single" w:sz="8" w:space="0" w:color="auto"/>
                          <w:bottom w:val="single" w:sz="8" w:space="0" w:color="000000"/>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社会</w:t>
                        </w:r>
                      </w:p>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组织</w:t>
                        </w: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注册登记社会组织数</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家</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19142</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29216</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社会团体数量</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个</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10572</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11726</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基金会数量</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个</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55</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125</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民办非企业单位</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个</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8515</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17365</w:t>
                        </w:r>
                      </w:p>
                    </w:tc>
                  </w:tr>
                  <w:tr w:rsidR="00E23AFB" w:rsidRPr="00E23AFB">
                    <w:trPr>
                      <w:trHeight w:val="315"/>
                      <w:jc w:val="center"/>
                    </w:trPr>
                    <w:tc>
                      <w:tcPr>
                        <w:tcW w:w="1057" w:type="dxa"/>
                        <w:vMerge w:val="restart"/>
                        <w:tcBorders>
                          <w:top w:val="nil"/>
                          <w:left w:val="single" w:sz="8" w:space="0" w:color="auto"/>
                          <w:bottom w:val="single" w:sz="8" w:space="0" w:color="000000"/>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综合</w:t>
                        </w:r>
                      </w:p>
                      <w:p w:rsidR="00E23AFB" w:rsidRPr="00E23AFB" w:rsidRDefault="00E23AFB" w:rsidP="00E23AFB">
                        <w:pPr>
                          <w:widowControl/>
                          <w:spacing w:line="560" w:lineRule="atLeast"/>
                          <w:jc w:val="center"/>
                          <w:textAlignment w:val="center"/>
                          <w:rPr>
                            <w:rFonts w:ascii="宋体" w:eastAsia="宋体" w:hAnsi="宋体" w:cs="宋体" w:hint="eastAsia"/>
                            <w:color w:val="000000"/>
                            <w:kern w:val="0"/>
                            <w:sz w:val="15"/>
                            <w:szCs w:val="15"/>
                          </w:rPr>
                        </w:pPr>
                        <w:r w:rsidRPr="00E23AFB">
                          <w:rPr>
                            <w:rFonts w:ascii="仿宋_GB2312" w:eastAsia="仿宋_GB2312" w:hAnsi="宋体" w:cs="宋体" w:hint="eastAsia"/>
                            <w:color w:val="000000"/>
                            <w:kern w:val="0"/>
                            <w:sz w:val="24"/>
                            <w:szCs w:val="24"/>
                          </w:rPr>
                          <w:t>防灾</w:t>
                        </w:r>
                      </w:p>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减灾</w:t>
                        </w: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累计因灾直接经济损失</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亿元</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362.49</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累计各类自然灾害受灾人口</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万人</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9214.92</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全国综合减灾示范社区</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个</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20</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220</w:t>
                        </w:r>
                      </w:p>
                    </w:tc>
                  </w:tr>
                  <w:tr w:rsidR="00E23AFB" w:rsidRPr="00E23AFB">
                    <w:trPr>
                      <w:trHeight w:val="315"/>
                      <w:jc w:val="center"/>
                    </w:trPr>
                    <w:tc>
                      <w:tcPr>
                        <w:tcW w:w="1057" w:type="dxa"/>
                        <w:vMerge w:val="restart"/>
                        <w:tcBorders>
                          <w:top w:val="nil"/>
                          <w:left w:val="single" w:sz="8" w:space="0" w:color="auto"/>
                          <w:bottom w:val="single" w:sz="8" w:space="0" w:color="000000"/>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双拥</w:t>
                        </w:r>
                      </w:p>
                      <w:p w:rsidR="00E23AFB" w:rsidRPr="00E23AFB" w:rsidRDefault="00E23AFB" w:rsidP="00E23AFB">
                        <w:pPr>
                          <w:widowControl/>
                          <w:spacing w:line="560" w:lineRule="atLeast"/>
                          <w:jc w:val="center"/>
                          <w:textAlignment w:val="center"/>
                          <w:rPr>
                            <w:rFonts w:ascii="宋体" w:eastAsia="宋体" w:hAnsi="宋体" w:cs="宋体" w:hint="eastAsia"/>
                            <w:color w:val="000000"/>
                            <w:kern w:val="0"/>
                            <w:sz w:val="15"/>
                            <w:szCs w:val="15"/>
                          </w:rPr>
                        </w:pPr>
                        <w:r w:rsidRPr="00E23AFB">
                          <w:rPr>
                            <w:rFonts w:ascii="仿宋_GB2312" w:eastAsia="仿宋_GB2312" w:hAnsi="宋体" w:cs="宋体" w:hint="eastAsia"/>
                            <w:color w:val="000000"/>
                            <w:kern w:val="0"/>
                            <w:sz w:val="24"/>
                            <w:szCs w:val="24"/>
                          </w:rPr>
                          <w:t>优抚</w:t>
                        </w:r>
                      </w:p>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安置</w:t>
                        </w:r>
                      </w:p>
                    </w:tc>
                    <w:tc>
                      <w:tcPr>
                        <w:tcW w:w="3997" w:type="dxa"/>
                        <w:gridSpan w:val="2"/>
                        <w:tcBorders>
                          <w:top w:val="nil"/>
                          <w:left w:val="nil"/>
                          <w:bottom w:val="single" w:sz="8" w:space="0" w:color="auto"/>
                          <w:right w:val="single" w:sz="8" w:space="0" w:color="000000"/>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义务兵家庭优待金标准</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元</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农村：当地上年度人均纯收入的70%</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农村：</w:t>
                        </w:r>
                        <w:r w:rsidRPr="00E23AFB">
                          <w:rPr>
                            <w:rFonts w:ascii="仿宋_GB2312" w:eastAsia="仿宋_GB2312" w:hAnsi="宋体" w:cs="宋体" w:hint="eastAsia"/>
                            <w:color w:val="000000"/>
                            <w:spacing w:val="-10"/>
                            <w:kern w:val="0"/>
                            <w:sz w:val="24"/>
                            <w:szCs w:val="24"/>
                          </w:rPr>
                          <w:t>上年度当地农民纯收入；</w:t>
                        </w:r>
                      </w:p>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城镇：</w:t>
                        </w:r>
                        <w:r w:rsidRPr="00E23AFB">
                          <w:rPr>
                            <w:rFonts w:ascii="仿宋_GB2312" w:eastAsia="仿宋_GB2312" w:hAnsi="宋体" w:cs="宋体" w:hint="eastAsia"/>
                            <w:color w:val="000000"/>
                            <w:spacing w:val="-10"/>
                            <w:kern w:val="0"/>
                            <w:sz w:val="24"/>
                            <w:szCs w:val="24"/>
                          </w:rPr>
                          <w:t>上年度城镇单位在岗职工最低工资标准</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3997" w:type="dxa"/>
                        <w:gridSpan w:val="2"/>
                        <w:tcBorders>
                          <w:top w:val="nil"/>
                          <w:left w:val="nil"/>
                          <w:bottom w:val="single" w:sz="8" w:space="0" w:color="auto"/>
                          <w:right w:val="single" w:sz="8" w:space="0" w:color="000000"/>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残疾军人康复器具配置</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万元</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380</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380</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3997" w:type="dxa"/>
                        <w:gridSpan w:val="2"/>
                        <w:tcBorders>
                          <w:top w:val="nil"/>
                          <w:left w:val="nil"/>
                          <w:bottom w:val="single" w:sz="8" w:space="0" w:color="auto"/>
                          <w:right w:val="single" w:sz="8" w:space="0" w:color="000000"/>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县级光荣院</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处</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43</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56</w:t>
                        </w:r>
                      </w:p>
                    </w:tc>
                  </w:tr>
                  <w:tr w:rsidR="00E23AFB" w:rsidRPr="00E23AF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退役士兵安置率</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99</w:t>
                        </w:r>
                      </w:p>
                    </w:tc>
                  </w:tr>
                  <w:tr w:rsidR="00E23AFB" w:rsidRPr="00E23AFB">
                    <w:trPr>
                      <w:trHeight w:val="315"/>
                      <w:jc w:val="center"/>
                    </w:trPr>
                    <w:tc>
                      <w:tcPr>
                        <w:tcW w:w="1057" w:type="dxa"/>
                        <w:vMerge w:val="restart"/>
                        <w:tcBorders>
                          <w:top w:val="nil"/>
                          <w:left w:val="single" w:sz="8" w:space="0" w:color="auto"/>
                          <w:bottom w:val="single" w:sz="8" w:space="0" w:color="000000"/>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社区</w:t>
                        </w:r>
                      </w:p>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治理</w:t>
                        </w: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城市社区综合服务设施覆盖率</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41</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93.7</w:t>
                        </w:r>
                      </w:p>
                    </w:tc>
                  </w:tr>
                  <w:tr w:rsidR="00E23AFB" w:rsidRPr="00E23AFB">
                    <w:trPr>
                      <w:trHeight w:val="318"/>
                      <w:jc w:val="center"/>
                    </w:trPr>
                    <w:tc>
                      <w:tcPr>
                        <w:tcW w:w="0" w:type="auto"/>
                        <w:vMerge/>
                        <w:tcBorders>
                          <w:top w:val="nil"/>
                          <w:left w:val="single" w:sz="8" w:space="0" w:color="auto"/>
                          <w:bottom w:val="single" w:sz="8" w:space="0" w:color="000000"/>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spacing w:val="-10"/>
                            <w:kern w:val="0"/>
                            <w:sz w:val="24"/>
                            <w:szCs w:val="24"/>
                          </w:rPr>
                          <w:t>每百户居民拥有的社区服务设施面积</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宋体" w:eastAsia="宋体" w:hAnsi="宋体" w:cs="宋体" w:hint="eastAsia"/>
                            <w:color w:val="000000"/>
                            <w:kern w:val="0"/>
                            <w:sz w:val="24"/>
                            <w:szCs w:val="24"/>
                          </w:rPr>
                          <w:t>㎡</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8</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20</w:t>
                        </w:r>
                      </w:p>
                    </w:tc>
                  </w:tr>
                  <w:tr w:rsidR="00E23AFB" w:rsidRPr="00E23AFB">
                    <w:trPr>
                      <w:trHeight w:val="315"/>
                      <w:jc w:val="center"/>
                    </w:trPr>
                    <w:tc>
                      <w:tcPr>
                        <w:tcW w:w="1057"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专项</w:t>
                        </w:r>
                      </w:p>
                      <w:p w:rsidR="00E23AFB" w:rsidRPr="00E23AFB" w:rsidRDefault="00E23AFB" w:rsidP="00E23AFB">
                        <w:pPr>
                          <w:widowControl/>
                          <w:spacing w:line="560" w:lineRule="atLeast"/>
                          <w:jc w:val="center"/>
                          <w:textAlignment w:val="center"/>
                          <w:rPr>
                            <w:rFonts w:ascii="宋体" w:eastAsia="宋体" w:hAnsi="宋体" w:cs="宋体" w:hint="eastAsia"/>
                            <w:color w:val="000000"/>
                            <w:kern w:val="0"/>
                            <w:sz w:val="15"/>
                            <w:szCs w:val="15"/>
                          </w:rPr>
                        </w:pPr>
                        <w:r w:rsidRPr="00E23AFB">
                          <w:rPr>
                            <w:rFonts w:ascii="仿宋_GB2312" w:eastAsia="仿宋_GB2312" w:hAnsi="宋体" w:cs="宋体" w:hint="eastAsia"/>
                            <w:color w:val="000000"/>
                            <w:kern w:val="0"/>
                            <w:sz w:val="24"/>
                            <w:szCs w:val="24"/>
                          </w:rPr>
                          <w:t>社会</w:t>
                        </w:r>
                      </w:p>
                      <w:p w:rsidR="00E23AFB" w:rsidRPr="00E23AFB" w:rsidRDefault="00E23AFB" w:rsidP="00E23AFB">
                        <w:pPr>
                          <w:widowControl/>
                          <w:spacing w:line="560" w:lineRule="atLeast"/>
                          <w:jc w:val="center"/>
                          <w:textAlignment w:val="center"/>
                          <w:rPr>
                            <w:rFonts w:ascii="宋体" w:eastAsia="宋体" w:hAnsi="宋体" w:cs="宋体" w:hint="eastAsia"/>
                            <w:color w:val="000000"/>
                            <w:kern w:val="0"/>
                            <w:sz w:val="15"/>
                            <w:szCs w:val="15"/>
                          </w:rPr>
                        </w:pPr>
                        <w:r w:rsidRPr="00E23AFB">
                          <w:rPr>
                            <w:rFonts w:ascii="仿宋_GB2312" w:eastAsia="仿宋_GB2312" w:hAnsi="宋体" w:cs="宋体" w:hint="eastAsia"/>
                            <w:color w:val="000000"/>
                            <w:kern w:val="0"/>
                            <w:sz w:val="24"/>
                            <w:szCs w:val="24"/>
                          </w:rPr>
                          <w:t>事务</w:t>
                        </w:r>
                      </w:p>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管理</w:t>
                        </w:r>
                      </w:p>
                    </w:tc>
                    <w:tc>
                      <w:tcPr>
                        <w:tcW w:w="3997" w:type="dxa"/>
                        <w:gridSpan w:val="2"/>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3A级以上级婚姻登记机关</w:t>
                        </w:r>
                      </w:p>
                    </w:tc>
                    <w:tc>
                      <w:tcPr>
                        <w:tcW w:w="773"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个</w:t>
                        </w:r>
                      </w:p>
                    </w:tc>
                    <w:tc>
                      <w:tcPr>
                        <w:tcW w:w="107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w:t>
                        </w:r>
                      </w:p>
                    </w:tc>
                    <w:tc>
                      <w:tcPr>
                        <w:tcW w:w="18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19</w:t>
                        </w:r>
                      </w:p>
                    </w:tc>
                  </w:tr>
                </w:tbl>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第二节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发展环境</w:t>
                  </w:r>
                </w:p>
                <w:p w:rsidR="00E23AFB" w:rsidRPr="00E23AFB" w:rsidRDefault="00E23AFB" w:rsidP="00E23AFB">
                  <w:pPr>
                    <w:widowControl/>
                    <w:spacing w:line="560" w:lineRule="atLeast"/>
                    <w:ind w:firstLine="606"/>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spacing w:val="-4"/>
                      <w:kern w:val="0"/>
                      <w:sz w:val="30"/>
                      <w:szCs w:val="30"/>
                    </w:rPr>
                    <w:t>党的十八大以来，以习近平同志为总书记的党中央形成的一系列治国理政新理念新思想新战略，为在新的历史条件下民政事业改革发展提供了科学理论指导和行动指南。“十三五”时期，全面建成小康社会进入决胜阶段，“五位一体”总体布局纵深展开，“四个全面”战略布局协调推进，创新、协调、绿色、开放和共享新的发展理念全面落实,以国家治理体系与治理能力现代化为目标的各项改革将不断深入，对民政切实兜住民生底线、深度参与社会治理、主动服务国防和军队改革、广泛提供均等化社会公共服务，提出了新的更高的要求，各级党委政府也更为重视保障和改善民生，政策支持力度持续加大，为民政事业发展带来了前所未有的机遇。</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同时，随着脱贫攻坚进入冲刺阶段，人口老龄化日趋严峻，民政事业发展也面临着前所未有的挑战。一是经济新常态下，经济下行压力较大，</w:t>
                  </w:r>
                  <w:r w:rsidRPr="00E23AFB">
                    <w:rPr>
                      <w:rFonts w:ascii="仿宋_GB2312" w:eastAsia="仿宋_GB2312" w:hAnsi="宋体" w:cs="宋体" w:hint="eastAsia"/>
                      <w:color w:val="000000"/>
                      <w:kern w:val="0"/>
                      <w:sz w:val="30"/>
                      <w:szCs w:val="30"/>
                      <w:shd w:val="clear" w:color="auto" w:fill="FFFFFF"/>
                    </w:rPr>
                    <w:t>我省国民生产总值和</w:t>
                  </w:r>
                  <w:r w:rsidRPr="00E23AFB">
                    <w:rPr>
                      <w:rFonts w:ascii="仿宋_GB2312" w:eastAsia="仿宋_GB2312" w:hAnsi="宋体" w:cs="宋体" w:hint="eastAsia"/>
                      <w:color w:val="000000"/>
                      <w:kern w:val="0"/>
                      <w:sz w:val="30"/>
                      <w:szCs w:val="30"/>
                    </w:rPr>
                    <w:t>财政收入增速放缓，民政领域保障和改善民生的投入能力受到影响，迫切需要提高民政事业发展的质量和效益，用更加完善的制度体系实现托底保障。二是在脱贫攻坚的新要求下，加快完善面向贫困人口的医疗救助制度，实行农村最低生活保障制度兜底脱贫，健全特殊困难人员救助保障关爱服务体系，确保到2020年全省农村低保标准全部达到国家扶贫标准，完全或部分丧失劳动能力的贫困人口全部纳入低保兜底保障，确保与全国一道同步全面建成小康社会，任务十分艰巨。民政系统迫切需要加强制度衔接、统筹救助资源，实现精准救助。三是人口老龄化程度进一步加深，少子高龄化、失能化、空巢化加剧，亟需从经济、健康、照护、精神等多方面建立有效机制，提升养老服务供给的规模和质量效益，满足日益增长、不断升级和个性化的需求。四是新型城镇化深入发展、户籍制度改革加快推进，农村人口进一步向城镇集中，亟需通过合理调整行政区划、创新基层社区治理和服务，既有序推进农业转移人口市民化、帮助他们享受市民化待遇，又加快推进农村社区建设，健全农村留守儿童、妇女、老人关爱服务体系，增加农村活力。五是社会结构和思想观念发生深刻变化，公益慈善、社会养老、基层自治、社区建设、社会组织、社会工作和志愿服务等，需要与人口老龄化、家庭小型化、需求多元化、治理现代化的趋势相适应，让群众有更多参与权和获得感。</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bookmarkStart w:id="1" w:name="_Toc438536485"/>
                  <w:r w:rsidRPr="00E23AFB">
                    <w:rPr>
                      <w:rFonts w:ascii="仿宋_GB2312" w:eastAsia="仿宋_GB2312" w:hAnsi="宋体" w:cs="宋体" w:hint="eastAsia"/>
                      <w:b/>
                      <w:bCs/>
                      <w:color w:val="000000"/>
                      <w:kern w:val="0"/>
                      <w:sz w:val="30"/>
                    </w:rPr>
                    <w:t>第三节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指导思想</w:t>
                  </w:r>
                  <w:bookmarkEnd w:id="1"/>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bookmarkStart w:id="2" w:name="_Toc15920"/>
                  <w:r w:rsidRPr="00E23AFB">
                    <w:rPr>
                      <w:rFonts w:ascii="仿宋_GB2312" w:eastAsia="仿宋_GB2312" w:hAnsi="宋体" w:cs="宋体" w:hint="eastAsia"/>
                      <w:color w:val="000000"/>
                      <w:kern w:val="0"/>
                      <w:sz w:val="30"/>
                      <w:szCs w:val="30"/>
                    </w:rPr>
                    <w:t>全面贯彻党的十八大和十八届三中、四中、五中全会精神，坚持以马克思列宁主义、毛泽东思想、邓小平理论、“三个代表”重要思想和科学发展观为指导，深入落实习近平总书记系列重要讲话精神，按照“五位一体”总体布局和“四个全面”战略布局，牢固树立创新、协调、绿色、开放、共享的发展理念，加强党对民政事业的领导，以切实保障困难群众基本生活、提升困难群众发展能力为根本出发点和落脚点，以培育发展社会力量、增进社</w:t>
                  </w:r>
                  <w:r w:rsidRPr="00E23AFB">
                    <w:rPr>
                      <w:rFonts w:ascii="仿宋_GB2312" w:eastAsia="仿宋_GB2312" w:hAnsi="宋体" w:cs="宋体" w:hint="eastAsia"/>
                      <w:color w:val="000000"/>
                      <w:spacing w:val="4"/>
                      <w:kern w:val="0"/>
                      <w:sz w:val="30"/>
                      <w:szCs w:val="30"/>
                    </w:rPr>
                    <w:t>会活力、提升民政公共服务水平为重要着力点，全面深化民政领域供给侧结构性改革，扩大有效供给，充分发挥民政在社会建设中的骨干作用，加快民政法治化、标准化、精细化、信息化建设，建立多层次、多元化的社会服务体系，充分发挥民政在社会建设中的骨干作用，全面提升民政在保障和改善民生中的兜底作用、在加强和创新社会治理中的基础作用、在国防和军队建设中的支持作用、在提供和强化专项社会服务中的支撑作用，加快推进治理体系和治理能力现代化，推动民政事业向更高层次迈进，为我省全面建成小康社会、实现中原崛起河南振兴富民强省做出应有贡献。</w:t>
                  </w:r>
                  <w:bookmarkEnd w:id="2"/>
                  <w:r w:rsidRPr="00E23AFB">
                    <w:rPr>
                      <w:rFonts w:ascii="仿宋_GB2312" w:eastAsia="仿宋_GB2312" w:hAnsi="宋体" w:cs="宋体" w:hint="eastAsia"/>
                      <w:color w:val="000000"/>
                      <w:kern w:val="0"/>
                      <w:sz w:val="30"/>
                      <w:szCs w:val="30"/>
                    </w:rPr>
                    <w:t>“十三五”时期，要顺利推进我省民政事业发展，必须牢牢把握以下5个方面：</w:t>
                  </w:r>
                </w:p>
                <w:p w:rsidR="00E23AFB" w:rsidRPr="00E23AFB" w:rsidRDefault="00E23AFB" w:rsidP="00E23AFB">
                  <w:pPr>
                    <w:widowControl/>
                    <w:spacing w:line="560" w:lineRule="atLeast"/>
                    <w:ind w:firstLine="625"/>
                    <w:jc w:val="left"/>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牢牢把握新的发展理念在推进民政工作中的统领作用。落实创新发展理念，把创新摆在民政事业发展的核心位置，贯穿于政策创制、资源配置、监督管理、解决矛盾和工作机制建设等全过程，释放民政工作动力，激发民政工作活力；落实协调发展理念，坚持城乡统筹、区域统筹、资源统筹，长远目标与当前工作统筹，政府推动与市场调节、社会参与统筹，推动民政工作协调发展；落实绿色发展理念，坚持把生态、节约、环保的意识体现在各项民政工作中；落实开放发展理念，扩大民政事业对外开放程度，坚持“引进来”和“走出去”相结合，积极引进国外社会建设和民生保障的先进理念、管理经验和实用技术，全面放开养老服务市场，引导外资积极参与公益慈善等领域，将社会救助、防灾减灾、社会福利、专业社会工作等有益经验向国内外介绍和推广。坚持解放思想，扩大民政工作社会参与，着力提高养老服务、慈善事业、基层社会治理等方面的社会参与度；落实共享发展理念，坚持以人民为中心、由人民共享改革发展各方面成果，从解决人民群众最关心最直接最现实的利益问题入手，将群众利益贯穿民政事业发展的各领域和各环节，稳步提升基本社会公共服务供给的质量和效率，促进城乡居民共同参与民政事业、共同享有民政发展成果，重点发挥民政工作的兜底保障作用，着力增进社会弱势群体的基本权益和发展能力，维护社会公平正义，保障基本民生，创新社会治理，提升民政公共服务水平，不断增强人民群众的获得感。</w:t>
                  </w:r>
                </w:p>
                <w:p w:rsidR="00E23AFB" w:rsidRPr="00E23AFB" w:rsidRDefault="00E23AFB" w:rsidP="00E23AFB">
                  <w:pPr>
                    <w:widowControl/>
                    <w:spacing w:line="560" w:lineRule="atLeast"/>
                    <w:ind w:firstLine="625"/>
                    <w:jc w:val="left"/>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牢牢把握在服务大局中凸显民政工作的兜底保障作用。发挥社会政策托底功能，做好受灾群众、低保对象、孤寡老人、孤残儿童、流浪乞讨人员和困难优抚对象、残疾人等特定群体的基本保障工作，做好留守儿童、留守妇女、留守老人和残疾人关爱服务工作。按照坚守底线、突出重点、完善制度、引导预期、注重机会公平的发展思路，聚焦突出问题，完善制度安排，加强制度衔接，注重运用信息化建设成果，提高基本民生精准保障水平，织密编牢基本民生保障网；立足当地经济发展水平，科学测算、动态调整各项救助保障标准，精准透明地引导社会心理预期，保证人民群众有更多的获得感，促进社会和谐，维护大局稳定。</w:t>
                  </w:r>
                </w:p>
                <w:p w:rsidR="00E23AFB" w:rsidRPr="00E23AFB" w:rsidRDefault="00E23AFB" w:rsidP="00E23AFB">
                  <w:pPr>
                    <w:widowControl/>
                    <w:spacing w:line="560" w:lineRule="atLeast"/>
                    <w:ind w:firstLine="625"/>
                    <w:jc w:val="left"/>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牢牢把握法治建设在促进民政事业改革发展中的规范作用。牢固树立法治信仰，坚持依法办事，增强改革意识，持续推进养老服务业综合改革、退役士兵安置制度改革、社会组织管理制度改革和慈善事业发展体制机制改革，加大政府购买服务力度，加快“三社联动”步伐，推动完善居民家庭经济状况核对、婚姻登记信息核证、对象申请纳入社会信用体系建设，不断提升民政对象精准识别、民政工作规范管理水平，确保民政工作进入法治化轨道。</w:t>
                  </w:r>
                </w:p>
                <w:p w:rsidR="00E23AFB" w:rsidRPr="00E23AFB" w:rsidRDefault="00E23AFB" w:rsidP="00E23AFB">
                  <w:pPr>
                    <w:widowControl/>
                    <w:spacing w:line="560" w:lineRule="atLeast"/>
                    <w:ind w:firstLine="625"/>
                    <w:jc w:val="left"/>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牢牢把握晋位争优在推动民政工作上台阶中的抓手作用。以“践行三严三实、狠抓工作落实、实现晋位争优”专题活动为抓手，强力抓好各项民政工作任务落实，切实推动全省民政工作晋位升级；加强领导班子建设，不断提高全省民政系统各级党组织凝聚力、战斗力、创造力；强化宗旨意识，改进作风，认真解决当前民政干部在作风、能力上与新形势新任务要求不相适应的问题，着力锤炼一支能力强、素质高、作风好的民政干部队伍；聚焦效能提升，制定年度晋位争优的目标和措施，以严的标准实的作风，突出执行，突出实干，努力实现创新发展的新局面；健全和落实激励问责机制，努力营造风清气正、心情舒畅、积极作为的干事创业良好氛围。</w:t>
                  </w:r>
                </w:p>
                <w:p w:rsidR="00E23AFB" w:rsidRPr="00E23AFB" w:rsidRDefault="00E23AFB" w:rsidP="00E23AFB">
                  <w:pPr>
                    <w:widowControl/>
                    <w:spacing w:line="560" w:lineRule="atLeast"/>
                    <w:ind w:firstLine="625"/>
                    <w:jc w:val="left"/>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牢牢把握“软硬结合”在夯实民政工作基础中的支撑作用。坚持“软硬结合”，着力夯实基层基础工作。突出解决好民政公共服务设施硬件建设和民政干部作风能力软件建设方面存在的短板问题。大力推进民政公共服务设施建设，坚持建、管、用并重，最大程度地发挥设施的综合效益，不断扩大民政公共服务惠及范围，提高民政公共服务保障水平。切实加强干部作风建设和能力建设，坚持“以民为本、为民解困、为民服务”的民政工作理念，关注群众所思、所想、所盼，真正把党和政府的各项惠民政策落到实处。</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第四节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基本原则</w:t>
                  </w:r>
                </w:p>
                <w:p w:rsidR="00E23AFB" w:rsidRPr="00E23AFB" w:rsidRDefault="00E23AFB" w:rsidP="00E23AFB">
                  <w:pPr>
                    <w:widowControl/>
                    <w:spacing w:line="560" w:lineRule="atLeast"/>
                    <w:ind w:firstLine="625"/>
                    <w:jc w:val="left"/>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——坚持保障基本、兜住底线。</w:t>
                  </w:r>
                  <w:r w:rsidRPr="00E23AFB">
                    <w:rPr>
                      <w:rFonts w:ascii="仿宋_GB2312" w:eastAsia="仿宋_GB2312" w:hAnsi="宋体" w:cs="宋体" w:hint="eastAsia"/>
                      <w:color w:val="000000"/>
                      <w:kern w:val="0"/>
                      <w:sz w:val="30"/>
                      <w:szCs w:val="30"/>
                    </w:rPr>
                    <w:t>强化基本民生保障职能，为困难群体、优抚群体、孤老孤残孤儿等特殊群体提供基本社会公共服务，促进资源向薄弱地区、领域和环节倾斜，保障基本生活，兜住民生底线。</w:t>
                  </w:r>
                </w:p>
                <w:p w:rsidR="00E23AFB" w:rsidRPr="00E23AFB" w:rsidRDefault="00E23AFB" w:rsidP="00E23AFB">
                  <w:pPr>
                    <w:widowControl/>
                    <w:spacing w:line="560" w:lineRule="atLeast"/>
                    <w:ind w:firstLine="625"/>
                    <w:jc w:val="left"/>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——坚持积极作为、引导预期。</w:t>
                  </w:r>
                  <w:r w:rsidRPr="00E23AFB">
                    <w:rPr>
                      <w:rFonts w:ascii="仿宋_GB2312" w:eastAsia="仿宋_GB2312" w:hAnsi="宋体" w:cs="宋体" w:hint="eastAsia"/>
                      <w:color w:val="000000"/>
                      <w:kern w:val="0"/>
                      <w:sz w:val="30"/>
                      <w:szCs w:val="30"/>
                    </w:rPr>
                    <w:t>积极回应群众关切，不断提升社会救助、社会福利、优抚安置等保障水平，正确引导公众合理预期，把基本社会公共服务供给建立在财力可持续基础上，推动适度普惠。</w:t>
                  </w:r>
                </w:p>
                <w:p w:rsidR="00E23AFB" w:rsidRPr="00E23AFB" w:rsidRDefault="00E23AFB" w:rsidP="00E23AFB">
                  <w:pPr>
                    <w:widowControl/>
                    <w:spacing w:line="560" w:lineRule="atLeast"/>
                    <w:ind w:firstLine="625"/>
                    <w:jc w:val="left"/>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——坚持政府主导、多元参与。</w:t>
                  </w:r>
                  <w:r w:rsidRPr="00E23AFB">
                    <w:rPr>
                      <w:rFonts w:ascii="仿宋_GB2312" w:eastAsia="仿宋_GB2312" w:hAnsi="宋体" w:cs="宋体" w:hint="eastAsia"/>
                      <w:color w:val="000000"/>
                      <w:kern w:val="0"/>
                      <w:sz w:val="30"/>
                      <w:szCs w:val="30"/>
                    </w:rPr>
                    <w:t>厘清政府、市场、社会在社会公共服务领域的职责、作用和权力，充分发挥市场在资源配置中的基础性作用，搭建多方参与平台，激发各类社会公共服务主体活力，为社会力量参与社会治理增权赋能，推动政府与社会之间形成更为均衡的双赢格局。</w:t>
                  </w:r>
                </w:p>
                <w:p w:rsidR="00E23AFB" w:rsidRPr="00E23AFB" w:rsidRDefault="00E23AFB" w:rsidP="00E23AFB">
                  <w:pPr>
                    <w:widowControl/>
                    <w:spacing w:line="560" w:lineRule="atLeast"/>
                    <w:ind w:firstLine="625"/>
                    <w:jc w:val="left"/>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——坚持资源整合、配套推进。</w:t>
                  </w:r>
                  <w:r w:rsidRPr="00E23AFB">
                    <w:rPr>
                      <w:rFonts w:ascii="仿宋_GB2312" w:eastAsia="仿宋_GB2312" w:hAnsi="宋体" w:cs="宋体" w:hint="eastAsia"/>
                      <w:color w:val="000000"/>
                      <w:kern w:val="0"/>
                      <w:sz w:val="30"/>
                      <w:szCs w:val="30"/>
                    </w:rPr>
                    <w:t>加快转变政府职能，健全政策管理体系，完善部门协同机制，创新服务供给方式，使各项改革举措在政策取向上相互衔接，在资源配置上互补共享，在实施过程中相互促进，提升社会公共服务供给能力、质量和效率，实现整体效益最大化。</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第五节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发展目标</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到2020年，我省民政事业法治化、信息化、标准化、社会化、专业化、精细化水平显著提升，民生保障能力明显增强，基层社会治理水平持续提高，服务国防和军队建设更加有力，提供专项社会服务更加有效，形成各个部门和各项工作之间分工明确、相互支撑、协同发展的推进格局，构建起制度更加完备、体系更加健全、覆盖更加广泛、功能更加强大，与全省经济社会发展水平相适应的现代化民政事业发展体系。</w:t>
                  </w:r>
                </w:p>
                <w:p w:rsidR="00E23AFB" w:rsidRPr="00E23AFB" w:rsidRDefault="00E23AFB" w:rsidP="00E23AFB">
                  <w:pPr>
                    <w:widowControl/>
                    <w:spacing w:line="560" w:lineRule="atLeast"/>
                    <w:ind w:firstLine="625"/>
                    <w:jc w:val="left"/>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——保障和改善民生能力持续提升。</w:t>
                  </w:r>
                  <w:r w:rsidRPr="00E23AFB">
                    <w:rPr>
                      <w:rFonts w:ascii="仿宋_GB2312" w:eastAsia="仿宋_GB2312" w:hAnsi="宋体" w:cs="宋体" w:hint="eastAsia"/>
                      <w:color w:val="000000"/>
                      <w:kern w:val="0"/>
                      <w:sz w:val="30"/>
                      <w:szCs w:val="30"/>
                    </w:rPr>
                    <w:t>城乡统筹、体系完善、制度健全、衔接配套、规范高效、分工负责、保障有力的社会救助管理体制和运行机制逐步建立，依法治理、制度完善、管理规范、健康有序的福利慈善事业发展格局基本形成，救助标准稳步提高，救助范围适度扩大，保障基本民生能力和群众满意度大幅提升。</w:t>
                  </w:r>
                  <w:r w:rsidRPr="00E23AFB">
                    <w:rPr>
                      <w:rFonts w:ascii="仿宋_GB2312" w:eastAsia="仿宋_GB2312" w:hAnsi="宋体" w:cs="宋体" w:hint="eastAsia"/>
                      <w:color w:val="000000"/>
                      <w:kern w:val="0"/>
                      <w:sz w:val="30"/>
                      <w:szCs w:val="30"/>
                      <w:shd w:val="clear" w:color="auto" w:fill="FFFFFF"/>
                    </w:rPr>
                    <w:t>以居家为基础、社区为依托、机构为补充，功能完善、规模适度、覆盖城乡、医养结合的养老服务体系逐步建成，</w:t>
                  </w:r>
                  <w:r w:rsidRPr="00E23AFB">
                    <w:rPr>
                      <w:rFonts w:ascii="仿宋_GB2312" w:eastAsia="仿宋_GB2312" w:hAnsi="宋体" w:cs="宋体" w:hint="eastAsia"/>
                      <w:color w:val="000000"/>
                      <w:kern w:val="0"/>
                      <w:sz w:val="30"/>
                      <w:szCs w:val="30"/>
                    </w:rPr>
                    <w:t>养老服务制度更加健全，养老服务产品更加丰富，养老服务市场机制更加完善，养老服务专业化、信息化水平显著提升。以备灾减灾、灾害应急、灾民生活救助、灾后恢复重建和社会应急动员为基本内容的防灾减灾救灾工作体系逐步健全，抵御自然灾害的综合防范能力全面提升，在自然灾害发生12小时之内，保证受灾群众得到基本生活救助。</w:t>
                  </w:r>
                </w:p>
                <w:p w:rsidR="00E23AFB" w:rsidRPr="00E23AFB" w:rsidRDefault="00E23AFB" w:rsidP="00E23AFB">
                  <w:pPr>
                    <w:widowControl/>
                    <w:spacing w:line="560" w:lineRule="atLeast"/>
                    <w:ind w:firstLine="593"/>
                    <w:jc w:val="left"/>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spacing w:val="-8"/>
                      <w:kern w:val="0"/>
                      <w:sz w:val="30"/>
                    </w:rPr>
                    <w:t>——基层</w:t>
                  </w:r>
                  <w:r w:rsidRPr="00E23AFB">
                    <w:rPr>
                      <w:rFonts w:ascii="仿宋_GB2312" w:eastAsia="仿宋_GB2312" w:hAnsi="宋体" w:cs="宋体" w:hint="eastAsia"/>
                      <w:b/>
                      <w:bCs/>
                      <w:color w:val="000000"/>
                      <w:kern w:val="0"/>
                      <w:sz w:val="30"/>
                    </w:rPr>
                    <w:t>社会治理和服务水平显著提高。</w:t>
                  </w:r>
                  <w:r w:rsidRPr="00E23AFB">
                    <w:rPr>
                      <w:rFonts w:ascii="仿宋_GB2312" w:eastAsia="仿宋_GB2312" w:hAnsi="宋体" w:cs="宋体" w:hint="eastAsia"/>
                      <w:color w:val="000000"/>
                      <w:kern w:val="0"/>
                      <w:sz w:val="30"/>
                      <w:szCs w:val="30"/>
                    </w:rPr>
                    <w:t>社区治理体系和治理能力现代化水平明显提升，社区服务体系普遍建立，社区自治功能显著增强，社会力量协同作用有效发挥，基层社会治理水平大幅提高，政府治理与社会自我调节、居民自治有效衔接和良性互动基本实现。统一登记、各司其职、协调配合、分级负责、依法监管的社会组织管理体制日臻完善，结构合理、功能完善、诚信自律、竞争有序的社会组织发展格局逐步建成，社会组织参与社会治理和公共服务的专业服务能力显著提升。</w:t>
                  </w:r>
                </w:p>
                <w:p w:rsidR="00E23AFB" w:rsidRPr="00E23AFB" w:rsidRDefault="00E23AFB" w:rsidP="00E23AFB">
                  <w:pPr>
                    <w:widowControl/>
                    <w:spacing w:line="560" w:lineRule="atLeast"/>
                    <w:ind w:firstLine="625"/>
                    <w:jc w:val="left"/>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——服务国防和军队现代化建设更加有力。</w:t>
                  </w:r>
                  <w:r w:rsidRPr="00E23AFB">
                    <w:rPr>
                      <w:rFonts w:ascii="仿宋_GB2312" w:eastAsia="仿宋_GB2312" w:hAnsi="宋体" w:cs="宋体" w:hint="eastAsia"/>
                      <w:color w:val="000000"/>
                      <w:kern w:val="0"/>
                      <w:sz w:val="30"/>
                      <w:szCs w:val="30"/>
                    </w:rPr>
                    <w:t>双拥优抚安置服务体系进一步健全，军民融合深度发展，优抚对象的优待抚恤和医疗补助制度更加科学完善，军供保障更加坚强有力。以扶持就业为主，自主就业、安排工作、退休、供养、复学等多种方式相结合、城乡一体的新型退役士兵安置制度不断完善。军休干部、复员干部和无军籍退休退职职工的接收安置和服务保障能力全面提升。烈士褒扬在社会主义核心价值体系建设中的积极作用充分发挥。</w:t>
                  </w:r>
                </w:p>
                <w:p w:rsidR="00E23AFB" w:rsidRPr="00E23AFB" w:rsidRDefault="00E23AFB" w:rsidP="00E23AFB">
                  <w:pPr>
                    <w:widowControl/>
                    <w:spacing w:line="560" w:lineRule="atLeast"/>
                    <w:ind w:firstLine="625"/>
                    <w:jc w:val="left"/>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——民政社会服务功能明显增强。</w:t>
                  </w:r>
                  <w:r w:rsidRPr="00E23AFB">
                    <w:rPr>
                      <w:rFonts w:ascii="仿宋_GB2312" w:eastAsia="仿宋_GB2312" w:hAnsi="宋体" w:cs="宋体" w:hint="eastAsia"/>
                      <w:color w:val="000000"/>
                      <w:kern w:val="0"/>
                      <w:sz w:val="30"/>
                      <w:szCs w:val="30"/>
                      <w:shd w:val="clear" w:color="auto" w:fill="FFFFFF"/>
                    </w:rPr>
                    <w:t>建成与依法行政、新型城镇化进程、区域发展战略相适应的行政区划管理体制机制，形成内容丰富、标准规范、方便及时、适应经济社会发展需要的行政区划、地名管理、界线管理公共服务体系，</w:t>
                  </w:r>
                  <w:r w:rsidRPr="00E23AFB">
                    <w:rPr>
                      <w:rFonts w:ascii="仿宋_GB2312" w:eastAsia="仿宋_GB2312" w:hAnsi="宋体" w:cs="宋体" w:hint="eastAsia"/>
                      <w:color w:val="000000"/>
                      <w:kern w:val="0"/>
                      <w:sz w:val="30"/>
                      <w:szCs w:val="30"/>
                    </w:rPr>
                    <w:t>加强婚姻登记、收养登记、殡葬管理服务标准化建设，建成功能完善、管理有序、服务规范的民政公共服务网络。</w:t>
                  </w:r>
                </w:p>
                <w:p w:rsidR="00E23AFB" w:rsidRPr="00E23AFB" w:rsidRDefault="00E23AFB" w:rsidP="00E23AFB">
                  <w:pPr>
                    <w:widowControl/>
                    <w:spacing w:before="100" w:beforeAutospacing="1" w:after="100" w:afterAutospacing="1" w:line="301" w:lineRule="atLeast"/>
                    <w:jc w:val="left"/>
                    <w:rPr>
                      <w:rFonts w:ascii="宋体" w:eastAsia="宋体" w:hAnsi="宋体" w:cs="宋体" w:hint="eastAsia"/>
                      <w:color w:val="000000"/>
                      <w:kern w:val="0"/>
                      <w:sz w:val="20"/>
                      <w:szCs w:val="20"/>
                    </w:rPr>
                  </w:pPr>
                  <w:r w:rsidRPr="00E23AFB">
                    <w:rPr>
                      <w:rFonts w:ascii="黑体" w:eastAsia="黑体" w:hAnsi="宋体" w:cs="宋体" w:hint="eastAsia"/>
                      <w:color w:val="000000"/>
                      <w:kern w:val="0"/>
                      <w:sz w:val="28"/>
                      <w:szCs w:val="28"/>
                    </w:rPr>
                    <w:br w:type="textWrapping" w:clear="all"/>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黑体" w:eastAsia="黑体" w:hAnsi="宋体" w:cs="宋体" w:hint="eastAsia"/>
                      <w:color w:val="000000"/>
                      <w:kern w:val="0"/>
                      <w:sz w:val="28"/>
                      <w:szCs w:val="28"/>
                    </w:rPr>
                    <w:t>专栏2：</w:t>
                  </w:r>
                </w:p>
                <w:p w:rsidR="00E23AFB" w:rsidRPr="00E23AFB" w:rsidRDefault="00E23AFB" w:rsidP="00E23AFB">
                  <w:pPr>
                    <w:widowControl/>
                    <w:shd w:val="clear" w:color="auto" w:fill="FFFFFF"/>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2"/>
                    </w:rPr>
                    <w:t>河南省民政事业发展第十三个五年规划主要指标</w:t>
                  </w:r>
                </w:p>
                <w:tbl>
                  <w:tblPr>
                    <w:tblW w:w="5000" w:type="pct"/>
                    <w:jc w:val="center"/>
                    <w:tblCellMar>
                      <w:left w:w="0" w:type="dxa"/>
                      <w:right w:w="0" w:type="dxa"/>
                    </w:tblCellMar>
                    <w:tblLook w:val="04A0"/>
                  </w:tblPr>
                  <w:tblGrid>
                    <w:gridCol w:w="849"/>
                    <w:gridCol w:w="6502"/>
                    <w:gridCol w:w="1276"/>
                    <w:gridCol w:w="1237"/>
                    <w:gridCol w:w="1098"/>
                  </w:tblGrid>
                  <w:tr w:rsidR="00E23AFB" w:rsidRPr="00E23AFB">
                    <w:trPr>
                      <w:trHeight w:val="934"/>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序号</w:t>
                        </w:r>
                      </w:p>
                    </w:tc>
                    <w:tc>
                      <w:tcPr>
                        <w:tcW w:w="5153" w:type="dxa"/>
                        <w:tcBorders>
                          <w:top w:val="single" w:sz="8" w:space="0" w:color="auto"/>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指</w:t>
                        </w:r>
                        <w:r w:rsidRPr="00E23AFB">
                          <w:rPr>
                            <w:rFonts w:ascii="仿宋_GB2312" w:eastAsia="仿宋_GB2312" w:hAnsi="宋体" w:cs="宋体" w:hint="eastAsia"/>
                            <w:b/>
                            <w:bCs/>
                            <w:color w:val="000000"/>
                            <w:kern w:val="0"/>
                            <w:sz w:val="24"/>
                            <w:szCs w:val="24"/>
                          </w:rPr>
                          <w:t> </w:t>
                        </w:r>
                        <w:r w:rsidRPr="00E23AFB">
                          <w:rPr>
                            <w:rFonts w:ascii="仿宋_GB2312" w:eastAsia="仿宋_GB2312" w:hAnsi="宋体" w:cs="宋体" w:hint="eastAsia"/>
                            <w:b/>
                            <w:bCs/>
                            <w:color w:val="000000"/>
                            <w:kern w:val="0"/>
                            <w:sz w:val="24"/>
                            <w:szCs w:val="24"/>
                          </w:rPr>
                          <w:t>标</w:t>
                        </w:r>
                        <w:r w:rsidRPr="00E23AFB">
                          <w:rPr>
                            <w:rFonts w:ascii="仿宋_GB2312" w:eastAsia="仿宋_GB2312" w:hAnsi="宋体" w:cs="宋体" w:hint="eastAsia"/>
                            <w:b/>
                            <w:bCs/>
                            <w:color w:val="000000"/>
                            <w:kern w:val="0"/>
                            <w:sz w:val="24"/>
                            <w:szCs w:val="24"/>
                          </w:rPr>
                          <w:t> </w:t>
                        </w:r>
                        <w:r w:rsidRPr="00E23AFB">
                          <w:rPr>
                            <w:rFonts w:ascii="仿宋_GB2312" w:eastAsia="仿宋_GB2312" w:hAnsi="宋体" w:cs="宋体" w:hint="eastAsia"/>
                            <w:b/>
                            <w:bCs/>
                            <w:color w:val="000000"/>
                            <w:kern w:val="0"/>
                            <w:sz w:val="24"/>
                            <w:szCs w:val="24"/>
                          </w:rPr>
                          <w:t>名</w:t>
                        </w:r>
                        <w:r w:rsidRPr="00E23AFB">
                          <w:rPr>
                            <w:rFonts w:ascii="仿宋_GB2312" w:eastAsia="仿宋_GB2312" w:hAnsi="宋体" w:cs="宋体" w:hint="eastAsia"/>
                            <w:b/>
                            <w:bCs/>
                            <w:color w:val="000000"/>
                            <w:kern w:val="0"/>
                            <w:sz w:val="24"/>
                            <w:szCs w:val="24"/>
                          </w:rPr>
                          <w:t> </w:t>
                        </w:r>
                        <w:r w:rsidRPr="00E23AFB">
                          <w:rPr>
                            <w:rFonts w:ascii="仿宋_GB2312" w:eastAsia="仿宋_GB2312" w:hAnsi="宋体" w:cs="宋体" w:hint="eastAsia"/>
                            <w:b/>
                            <w:bCs/>
                            <w:color w:val="000000"/>
                            <w:kern w:val="0"/>
                            <w:sz w:val="24"/>
                            <w:szCs w:val="24"/>
                          </w:rPr>
                          <w:t>称</w:t>
                        </w:r>
                      </w:p>
                    </w:tc>
                    <w:tc>
                      <w:tcPr>
                        <w:tcW w:w="1011"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2015年基数</w:t>
                        </w:r>
                      </w:p>
                    </w:tc>
                    <w:tc>
                      <w:tcPr>
                        <w:tcW w:w="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2020年</w:t>
                        </w:r>
                      </w:p>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目标值</w:t>
                        </w:r>
                      </w:p>
                    </w:tc>
                    <w:tc>
                      <w:tcPr>
                        <w:tcW w:w="870" w:type="dxa"/>
                        <w:tcBorders>
                          <w:top w:val="single" w:sz="8" w:space="0" w:color="auto"/>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属 性</w:t>
                        </w:r>
                      </w:p>
                    </w:tc>
                  </w:tr>
                  <w:tr w:rsidR="00E23AFB" w:rsidRPr="00E23AFB">
                    <w:trPr>
                      <w:trHeight w:val="680"/>
                      <w:jc w:val="center"/>
                    </w:trPr>
                    <w:tc>
                      <w:tcPr>
                        <w:tcW w:w="67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每千名老年人口拥有养老床位数（张）</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32.2</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35</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预期性</w:t>
                        </w:r>
                      </w:p>
                    </w:tc>
                  </w:tr>
                  <w:tr w:rsidR="00E23AFB" w:rsidRPr="00E23AFB">
                    <w:trPr>
                      <w:trHeight w:val="680"/>
                      <w:jc w:val="center"/>
                    </w:trPr>
                    <w:tc>
                      <w:tcPr>
                        <w:tcW w:w="0" w:type="auto"/>
                        <w:vMerge/>
                        <w:tcBorders>
                          <w:top w:val="nil"/>
                          <w:left w:val="single" w:sz="8" w:space="0" w:color="auto"/>
                          <w:bottom w:val="single" w:sz="8" w:space="0" w:color="auto"/>
                          <w:right w:val="single" w:sz="8" w:space="0" w:color="auto"/>
                        </w:tcBorders>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其中：护理型床位比例（%）</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6</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30</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预期性</w:t>
                        </w:r>
                      </w:p>
                    </w:tc>
                  </w:tr>
                  <w:tr w:rsidR="00E23AFB" w:rsidRPr="00E23AFB">
                    <w:trPr>
                      <w:trHeight w:val="680"/>
                      <w:jc w:val="center"/>
                    </w:trPr>
                    <w:tc>
                      <w:tcPr>
                        <w:tcW w:w="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spacing w:val="-10"/>
                            <w:kern w:val="0"/>
                            <w:sz w:val="24"/>
                            <w:szCs w:val="24"/>
                          </w:rPr>
                          <w:t>对生活不能自理的特困人员的集中供养能力</w:t>
                        </w:r>
                        <w:r w:rsidRPr="00E23AFB">
                          <w:rPr>
                            <w:rFonts w:ascii="仿宋_GB2312" w:eastAsia="仿宋_GB2312" w:hAnsi="宋体" w:cs="宋体" w:hint="eastAsia"/>
                            <w:color w:val="000000"/>
                            <w:kern w:val="0"/>
                            <w:sz w:val="24"/>
                            <w:szCs w:val="24"/>
                          </w:rPr>
                          <w:t>（%）</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50</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约束性</w:t>
                        </w:r>
                      </w:p>
                    </w:tc>
                  </w:tr>
                  <w:tr w:rsidR="00E23AFB" w:rsidRPr="00E23AFB">
                    <w:trPr>
                      <w:trHeight w:val="742"/>
                      <w:jc w:val="center"/>
                    </w:trPr>
                    <w:tc>
                      <w:tcPr>
                        <w:tcW w:w="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重点对象医疗救助政策范围内住院自付费用救助比率（%）</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70</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70</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约束性</w:t>
                        </w:r>
                      </w:p>
                    </w:tc>
                  </w:tr>
                  <w:tr w:rsidR="00E23AFB" w:rsidRPr="00E23AFB">
                    <w:trPr>
                      <w:trHeight w:val="680"/>
                      <w:jc w:val="center"/>
                    </w:trPr>
                    <w:tc>
                      <w:tcPr>
                        <w:tcW w:w="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4</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节地生态安葬率（%）</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50</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预期性</w:t>
                        </w:r>
                      </w:p>
                    </w:tc>
                  </w:tr>
                  <w:tr w:rsidR="00E23AFB" w:rsidRPr="00E23AFB">
                    <w:trPr>
                      <w:trHeight w:val="742"/>
                      <w:jc w:val="center"/>
                    </w:trPr>
                    <w:tc>
                      <w:tcPr>
                        <w:tcW w:w="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5</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公益性骨灰安放设施（含公益性公墓）县级行政区域覆盖率（%）</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70</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约束性</w:t>
                        </w:r>
                      </w:p>
                    </w:tc>
                  </w:tr>
                  <w:tr w:rsidR="00E23AFB" w:rsidRPr="00E23AFB">
                    <w:trPr>
                      <w:trHeight w:val="680"/>
                      <w:jc w:val="center"/>
                    </w:trPr>
                    <w:tc>
                      <w:tcPr>
                        <w:tcW w:w="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6</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spacing w:val="-10"/>
                            <w:kern w:val="0"/>
                            <w:sz w:val="24"/>
                            <w:szCs w:val="24"/>
                          </w:rPr>
                          <w:t>年均因灾直接经济损失占国内生产总值的比例</w:t>
                        </w:r>
                        <w:r w:rsidRPr="00E23AFB">
                          <w:rPr>
                            <w:rFonts w:ascii="仿宋_GB2312" w:eastAsia="仿宋_GB2312" w:hAnsi="宋体" w:cs="宋体" w:hint="eastAsia"/>
                            <w:color w:val="000000"/>
                            <w:kern w:val="0"/>
                            <w:sz w:val="24"/>
                            <w:szCs w:val="24"/>
                          </w:rPr>
                          <w:t>（%）</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≤1.3</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预期性</w:t>
                        </w:r>
                      </w:p>
                    </w:tc>
                  </w:tr>
                  <w:tr w:rsidR="00E23AFB" w:rsidRPr="00E23AFB">
                    <w:trPr>
                      <w:trHeight w:val="680"/>
                      <w:jc w:val="center"/>
                    </w:trPr>
                    <w:tc>
                      <w:tcPr>
                        <w:tcW w:w="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7</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城市社区综合服务设施覆盖率（%）</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93.7</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100</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约束性</w:t>
                        </w:r>
                      </w:p>
                    </w:tc>
                  </w:tr>
                  <w:tr w:rsidR="00E23AFB" w:rsidRPr="00E23AFB">
                    <w:trPr>
                      <w:trHeight w:val="680"/>
                      <w:jc w:val="center"/>
                    </w:trPr>
                    <w:tc>
                      <w:tcPr>
                        <w:tcW w:w="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8</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农村社区综合服务设施覆盖率（%）</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19.3</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50</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约束性</w:t>
                        </w:r>
                      </w:p>
                    </w:tc>
                  </w:tr>
                  <w:tr w:rsidR="00E23AFB" w:rsidRPr="00E23AFB">
                    <w:trPr>
                      <w:trHeight w:val="680"/>
                      <w:jc w:val="center"/>
                    </w:trPr>
                    <w:tc>
                      <w:tcPr>
                        <w:tcW w:w="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9</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城市社区公共服务综合信息平台覆盖率（%）</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24.5</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60</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约束性</w:t>
                        </w:r>
                      </w:p>
                    </w:tc>
                  </w:tr>
                  <w:tr w:rsidR="00E23AFB" w:rsidRPr="00E23AFB">
                    <w:trPr>
                      <w:trHeight w:val="680"/>
                      <w:jc w:val="center"/>
                    </w:trPr>
                    <w:tc>
                      <w:tcPr>
                        <w:tcW w:w="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10</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农村社区公共服务综合信息平台覆盖率（%）</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30</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约束性</w:t>
                        </w:r>
                      </w:p>
                    </w:tc>
                  </w:tr>
                  <w:tr w:rsidR="00E23AFB" w:rsidRPr="00E23AFB">
                    <w:trPr>
                      <w:trHeight w:val="680"/>
                      <w:jc w:val="center"/>
                    </w:trPr>
                    <w:tc>
                      <w:tcPr>
                        <w:tcW w:w="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11</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每万人社会组织数（个）</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2.8</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3.5</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预期性</w:t>
                        </w:r>
                      </w:p>
                    </w:tc>
                  </w:tr>
                  <w:tr w:rsidR="00E23AFB" w:rsidRPr="00E23AFB">
                    <w:trPr>
                      <w:trHeight w:val="680"/>
                      <w:jc w:val="center"/>
                    </w:trPr>
                    <w:tc>
                      <w:tcPr>
                        <w:tcW w:w="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12</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经常性社会捐助站点和慈善超市数量（个）</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434</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2000</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预期性</w:t>
                        </w:r>
                      </w:p>
                    </w:tc>
                  </w:tr>
                  <w:tr w:rsidR="00E23AFB" w:rsidRPr="00E23AFB">
                    <w:trPr>
                      <w:trHeight w:val="680"/>
                      <w:jc w:val="center"/>
                    </w:trPr>
                    <w:tc>
                      <w:tcPr>
                        <w:tcW w:w="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13</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社会工作专业人才占总人口比例(‰)</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0.5</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预期性</w:t>
                        </w:r>
                      </w:p>
                    </w:tc>
                  </w:tr>
                  <w:tr w:rsidR="00E23AFB" w:rsidRPr="00E23AFB">
                    <w:trPr>
                      <w:trHeight w:val="680"/>
                      <w:jc w:val="center"/>
                    </w:trPr>
                    <w:tc>
                      <w:tcPr>
                        <w:tcW w:w="6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14</w:t>
                        </w:r>
                      </w:p>
                    </w:tc>
                    <w:tc>
                      <w:tcPr>
                        <w:tcW w:w="5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left"/>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注册志愿者人数占居民人口比例（%）</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13</w:t>
                        </w:r>
                      </w:p>
                    </w:tc>
                    <w:tc>
                      <w:tcPr>
                        <w:tcW w:w="870" w:type="dxa"/>
                        <w:tcBorders>
                          <w:top w:val="nil"/>
                          <w:left w:val="nil"/>
                          <w:bottom w:val="single" w:sz="8" w:space="0" w:color="auto"/>
                          <w:right w:val="single" w:sz="8" w:space="0" w:color="auto"/>
                        </w:tcBorders>
                        <w:shd w:val="clear" w:color="auto" w:fill="auto"/>
                        <w:vAlign w:val="center"/>
                        <w:hideMark/>
                      </w:tcPr>
                      <w:p w:rsidR="00E23AFB" w:rsidRPr="00E23AFB" w:rsidRDefault="00E23AFB" w:rsidP="00E23AFB">
                        <w:pPr>
                          <w:widowControl/>
                          <w:spacing w:line="560" w:lineRule="atLeast"/>
                          <w:jc w:val="center"/>
                          <w:textAlignment w:val="center"/>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预期性</w:t>
                        </w:r>
                      </w:p>
                    </w:tc>
                  </w:tr>
                </w:tbl>
                <w:p w:rsidR="00E23AFB" w:rsidRPr="00E23AFB" w:rsidRDefault="00E23AFB" w:rsidP="00E23AFB">
                  <w:pPr>
                    <w:widowControl/>
                    <w:spacing w:before="100" w:beforeAutospacing="1" w:after="100" w:afterAutospacing="1" w:line="301" w:lineRule="atLeast"/>
                    <w:jc w:val="left"/>
                    <w:rPr>
                      <w:rFonts w:ascii="宋体" w:eastAsia="宋体" w:hAnsi="宋体" w:cs="宋体" w:hint="eastAsia"/>
                      <w:color w:val="000000"/>
                      <w:kern w:val="0"/>
                      <w:sz w:val="20"/>
                      <w:szCs w:val="20"/>
                    </w:rPr>
                  </w:pPr>
                  <w:r w:rsidRPr="00E23AFB">
                    <w:rPr>
                      <w:rFonts w:ascii="Times New Roman" w:eastAsia="宋体" w:hAnsi="Times New Roman" w:cs="Times New Roman"/>
                      <w:color w:val="000000"/>
                      <w:kern w:val="0"/>
                      <w:szCs w:val="21"/>
                    </w:rPr>
                    <w:br w:type="textWrapping" w:clear="all"/>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宋体" w:eastAsia="宋体" w:hAnsi="宋体" w:cs="宋体" w:hint="eastAsia"/>
                      <w:color w:val="000000"/>
                      <w:kern w:val="0"/>
                      <w:sz w:val="20"/>
                      <w:szCs w:val="20"/>
                    </w:rPr>
                    <w:t> </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黑体" w:eastAsia="黑体" w:hAnsi="宋体" w:cs="宋体" w:hint="eastAsia"/>
                      <w:color w:val="000000"/>
                      <w:kern w:val="0"/>
                      <w:sz w:val="30"/>
                    </w:rPr>
                    <w:t>第二章</w:t>
                  </w:r>
                  <w:r w:rsidRPr="00E23AFB">
                    <w:rPr>
                      <w:rFonts w:ascii="黑体" w:eastAsia="黑体" w:hAnsi="宋体" w:cs="宋体" w:hint="eastAsia"/>
                      <w:color w:val="000000"/>
                      <w:kern w:val="0"/>
                      <w:sz w:val="30"/>
                    </w:rPr>
                    <w:t> </w:t>
                  </w:r>
                  <w:r w:rsidRPr="00E23AFB">
                    <w:rPr>
                      <w:rFonts w:ascii="黑体" w:eastAsia="黑体" w:hAnsi="宋体" w:cs="宋体" w:hint="eastAsia"/>
                      <w:color w:val="000000"/>
                      <w:kern w:val="0"/>
                      <w:sz w:val="30"/>
                    </w:rPr>
                    <w:t>保障基本民生</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坚持共享发展成果，发挥脱贫攻坚兜底保障作用，完善新型社会救助体系，强化减灾救灾能力建设，提高困难群众和受灾群众的生活保障水平，提升残疾人和儿童福利水平，支持公益慈善事业发展，做好援疆工作，开展脱贫攻坚，构建更加坚实的托底民生保障体系。</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bookmarkStart w:id="3" w:name="_Toc438536489"/>
                  <w:r w:rsidRPr="00E23AFB">
                    <w:rPr>
                      <w:rFonts w:ascii="仿宋_GB2312" w:eastAsia="仿宋_GB2312" w:hAnsi="宋体" w:cs="宋体" w:hint="eastAsia"/>
                      <w:b/>
                      <w:bCs/>
                      <w:color w:val="000000"/>
                      <w:kern w:val="0"/>
                      <w:sz w:val="30"/>
                    </w:rPr>
                    <w:t>第一节</w:t>
                  </w:r>
                  <w:r w:rsidRPr="00E23AFB">
                    <w:rPr>
                      <w:rFonts w:ascii="仿宋_GB2312" w:eastAsia="仿宋_GB2312" w:hAnsi="宋体" w:cs="宋体" w:hint="eastAsia"/>
                      <w:b/>
                      <w:bCs/>
                      <w:color w:val="000000"/>
                      <w:kern w:val="0"/>
                      <w:sz w:val="30"/>
                    </w:rPr>
                    <w:t> </w:t>
                  </w:r>
                  <w:bookmarkEnd w:id="3"/>
                  <w:r w:rsidRPr="00E23AFB">
                    <w:rPr>
                      <w:rFonts w:ascii="仿宋_GB2312" w:eastAsia="仿宋_GB2312" w:hAnsi="宋体" w:cs="宋体" w:hint="eastAsia"/>
                      <w:b/>
                      <w:bCs/>
                      <w:color w:val="000000"/>
                      <w:kern w:val="0"/>
                      <w:sz w:val="30"/>
                    </w:rPr>
                    <w:t>统筹推进社会救助体系建设</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坚持托底线、救急难、可持续的基本原则，统筹完善社会救助体系，强化社会救助政策之间、社会救助与其他社会保障制度之间的衔接。加强部门协同，推进资源统筹，全面建立困难家庭经济状况核对机制，推动社会救助信息共享，健全完善“一门受理、协同办理”机制。引导鼓励社会力量和市场主体更多参与，发挥社会工作专业服务机构和专业人才作用，为社会救助对象提供社会融入、能力提升、资源链接、心理疏导等专业服务。</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szCs w:val="30"/>
                    </w:rPr>
                    <w:t>(一)完善最低生活保障制度。</w:t>
                  </w:r>
                  <w:r w:rsidRPr="00E23AFB">
                    <w:rPr>
                      <w:rFonts w:ascii="仿宋_GB2312" w:eastAsia="仿宋_GB2312" w:hAnsi="宋体" w:cs="宋体" w:hint="eastAsia"/>
                      <w:color w:val="000000"/>
                      <w:kern w:val="0"/>
                      <w:sz w:val="30"/>
                      <w:szCs w:val="30"/>
                    </w:rPr>
                    <w:t>推进城乡低保统筹发展，确保动态管理下的应保尽保。建立低保标准动态调整机制，实行低保标准与物价上涨挂钩联动，按经济社会发展水平逐步提高城乡最低生活保障标准，逐步缩小城乡低保标准差距，确保2020年前所有地方农村低保标准达到或高于国家扶贫标准。将靠家庭成员供养的参与社会生活和自理困难的重度残疾人，按规定纳入最低生活保障救助范围，按照当地城乡低保最高补差予以救助。对获得最低生活保障后生活仍有困难的老年人、未成年人、重度残疾人和重病患者，采取必要措施保障其基本生活。探索开展低收入家庭认定工作，研究支出型贫困家庭救助支持政策。加强低保与就业救助、扶贫开发等政策的衔接，鼓励有劳动能力和劳动条件的低保对象依靠自身努力脱贫增收。</w:t>
                  </w:r>
                </w:p>
                <w:p w:rsidR="00E23AFB" w:rsidRPr="00E23AFB" w:rsidRDefault="00E23AFB" w:rsidP="00E23AFB">
                  <w:pPr>
                    <w:widowControl/>
                    <w:spacing w:line="560" w:lineRule="atLeast"/>
                    <w:ind w:firstLine="498"/>
                    <w:jc w:val="left"/>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szCs w:val="30"/>
                    </w:rPr>
                    <w:t>(二)落实特困人员救助供养制度。</w:t>
                  </w:r>
                  <w:r w:rsidRPr="00E23AFB">
                    <w:rPr>
                      <w:rFonts w:ascii="仿宋_GB2312" w:eastAsia="仿宋_GB2312" w:hAnsi="宋体" w:cs="宋体" w:hint="eastAsia"/>
                      <w:color w:val="000000"/>
                      <w:kern w:val="0"/>
                      <w:sz w:val="30"/>
                      <w:szCs w:val="30"/>
                    </w:rPr>
                    <w:t>推动建立城乡统筹、政策衔接、运行规范、与经济社会发展水平相适应的特困人员救助供养制度，切实维护特困人员基本生活权益。制定特困人员认定办法，科学测算基本生活标准和照料护理标准。加强特困人员供养服务机构建设，完善内部管理，健全服务规范，优先集中供养完全或部分丧失生活自理能力的特困人员，到2020年底前生活不能自理特困人员集中供养能力达到50%。</w:t>
                  </w:r>
                </w:p>
                <w:p w:rsidR="00E23AFB" w:rsidRPr="00E23AFB" w:rsidRDefault="00E23AFB" w:rsidP="00E23AFB">
                  <w:pPr>
                    <w:widowControl/>
                    <w:spacing w:line="560" w:lineRule="atLeast"/>
                    <w:ind w:firstLine="498"/>
                    <w:jc w:val="left"/>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szCs w:val="30"/>
                    </w:rPr>
                    <w:t>（三）健全医疗救助制度。</w:t>
                  </w:r>
                  <w:r w:rsidRPr="00E23AFB">
                    <w:rPr>
                      <w:rFonts w:ascii="仿宋_GB2312" w:eastAsia="仿宋_GB2312" w:hAnsi="宋体" w:cs="宋体" w:hint="eastAsia"/>
                      <w:color w:val="000000"/>
                      <w:kern w:val="0"/>
                      <w:sz w:val="30"/>
                      <w:szCs w:val="30"/>
                    </w:rPr>
                    <w:t>健全完善覆盖城乡的重特大疾病医疗救助制度，逐步扩大救助对象范围，合理确定救助标准，分类分段设置救助比例和最高救助限额。对重点医疗救助对象在定点医疗机构发生的政策范围内的住院费用，经过各类医疗保险报销后的个人负担费用，在年度最高限额内按不低于70%的比例给予救助。加强医疗救助与相关医疗保障制度的衔接，健全“一站式”即时结算机制，搭建社会力量参与医疗救助的信息共享平台，形成政府救助与社会力量的合力。</w:t>
                  </w:r>
                  <w:r w:rsidRPr="00E23AFB">
                    <w:rPr>
                      <w:rFonts w:ascii="楷体_GB2312" w:eastAsia="楷体_GB2312" w:hAnsi="宋体" w:cs="宋体" w:hint="eastAsia"/>
                      <w:color w:val="000000"/>
                      <w:kern w:val="0"/>
                      <w:sz w:val="30"/>
                      <w:szCs w:val="30"/>
                    </w:rPr>
                    <w:t>   </w:t>
                  </w:r>
                </w:p>
                <w:p w:rsidR="00E23AFB" w:rsidRPr="00E23AFB" w:rsidRDefault="00E23AFB" w:rsidP="00E23AFB">
                  <w:pPr>
                    <w:widowControl/>
                    <w:spacing w:line="560" w:lineRule="atLeast"/>
                    <w:ind w:firstLine="498"/>
                    <w:jc w:val="left"/>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szCs w:val="30"/>
                    </w:rPr>
                    <w:t>（四）落实临时救助制度。</w:t>
                  </w:r>
                  <w:r w:rsidRPr="00E23AFB">
                    <w:rPr>
                      <w:rFonts w:ascii="仿宋_GB2312" w:eastAsia="仿宋_GB2312" w:hAnsi="宋体" w:cs="宋体" w:hint="eastAsia"/>
                      <w:color w:val="000000"/>
                      <w:kern w:val="0"/>
                      <w:sz w:val="30"/>
                      <w:szCs w:val="30"/>
                    </w:rPr>
                    <w:t>全面高效实施临时救助制度，细化、实化政策措施。明确救助对象范围，科学制定救助标准，规范审核审批程序，完善临时救助方式。全面落实“先行救助”、“分级审批”、“转介服务”等规定，增强救助时效性，实现应救尽救、托底救助。全面推开“救急难”工作，建立健全主动发现、部门协同、信息共享、慈善衔接机制。引导社会力量积极参与，统筹救助资源，发挥制度合力，确保困难群众求助有门、受助及时、急难有救。</w:t>
                  </w:r>
                </w:p>
                <w:p w:rsidR="00E23AFB" w:rsidRPr="00E23AFB" w:rsidRDefault="00E23AFB" w:rsidP="00E23AFB">
                  <w:pPr>
                    <w:widowControl/>
                    <w:spacing w:line="560" w:lineRule="atLeast"/>
                    <w:ind w:firstLine="498"/>
                    <w:jc w:val="left"/>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szCs w:val="30"/>
                    </w:rPr>
                    <w:t>（五）加强流浪乞讨人员救助。</w:t>
                  </w:r>
                  <w:r w:rsidRPr="00E23AFB">
                    <w:rPr>
                      <w:rFonts w:ascii="仿宋_GB2312" w:eastAsia="仿宋_GB2312" w:hAnsi="宋体" w:cs="宋体" w:hint="eastAsia"/>
                      <w:color w:val="000000"/>
                      <w:kern w:val="0"/>
                      <w:sz w:val="30"/>
                      <w:szCs w:val="30"/>
                      <w:shd w:val="clear" w:color="auto" w:fill="FFFFFF"/>
                    </w:rPr>
                    <w:t>加强生活无着流浪乞讨人员救助管理规范化建设，优化主动发现、转介服务机制，运用信息化手段开展日常管理和救助服务，健全城乡一体化快速响应机制。大力推进城市流浪乞讨人员救助管理机构规范化建设，建立健全市、县、乡、村四级救助管理服务网络体系，广泛动员城乡基层自治组织、专业社会组织、志愿者和群众参与救助服务。</w:t>
                  </w:r>
                </w:p>
                <w:p w:rsidR="00E23AFB" w:rsidRPr="00E23AFB" w:rsidRDefault="00E23AFB" w:rsidP="00E23AFB">
                  <w:pPr>
                    <w:widowControl/>
                    <w:spacing w:line="560" w:lineRule="atLeast"/>
                    <w:ind w:firstLine="498"/>
                    <w:jc w:val="left"/>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szCs w:val="30"/>
                    </w:rPr>
                    <w:t>（六）提升救助能力。</w:t>
                  </w:r>
                  <w:r w:rsidRPr="00E23AFB">
                    <w:rPr>
                      <w:rFonts w:ascii="仿宋_GB2312" w:eastAsia="仿宋_GB2312" w:hAnsi="宋体" w:cs="宋体" w:hint="eastAsia"/>
                      <w:color w:val="000000"/>
                      <w:kern w:val="0"/>
                      <w:sz w:val="30"/>
                      <w:szCs w:val="30"/>
                    </w:rPr>
                    <w:t>持续推进乡镇（街道）社会救助经办能力建设，建设社会救助管理信息系统。加快建立跨部门、多层次的居民家庭经济状况核对信息平台，严格规范低保认定标准，实施精准救助，保持动态管理下的应保尽保。实施政府购买服务，培育和引进专业社会工作机构和社会工作者，为救助对象提供社</w:t>
                  </w:r>
                  <w:r w:rsidRPr="00E23AFB">
                    <w:rPr>
                      <w:rFonts w:ascii="仿宋_GB2312" w:eastAsia="仿宋_GB2312" w:hAnsi="宋体" w:cs="宋体" w:hint="eastAsia"/>
                      <w:color w:val="000000"/>
                      <w:spacing w:val="-4"/>
                      <w:kern w:val="0"/>
                      <w:sz w:val="30"/>
                      <w:szCs w:val="30"/>
                    </w:rPr>
                    <w:t>会融入、心理疏导、精神慰藉、能力提升、资源链接等方面的服务。</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第二节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完善防灾减灾救灾体系</w:t>
                  </w:r>
                </w:p>
                <w:p w:rsidR="00E23AFB" w:rsidRPr="00E23AFB" w:rsidRDefault="00E23AFB" w:rsidP="00E23AFB">
                  <w:pPr>
                    <w:widowControl/>
                    <w:spacing w:line="560" w:lineRule="atLeast"/>
                    <w:ind w:firstLine="622"/>
                    <w:rPr>
                      <w:rFonts w:ascii="宋体" w:eastAsia="宋体" w:hAnsi="宋体" w:cs="宋体" w:hint="eastAsia"/>
                      <w:color w:val="000000"/>
                      <w:kern w:val="0"/>
                      <w:sz w:val="20"/>
                      <w:szCs w:val="20"/>
                    </w:rPr>
                  </w:pPr>
                  <w:bookmarkStart w:id="4" w:name="_Toc438536491"/>
                  <w:r w:rsidRPr="00E23AFB">
                    <w:rPr>
                      <w:rFonts w:ascii="仿宋_GB2312" w:eastAsia="仿宋_GB2312" w:hAnsi="宋体" w:cs="宋体" w:hint="eastAsia"/>
                      <w:color w:val="000000"/>
                      <w:kern w:val="0"/>
                      <w:sz w:val="30"/>
                    </w:rPr>
                    <w:t>按照“政府主导、部门协同、上下联动、社会参与”的原则，坚持以防为主、防抗救相结合、常态减灾与非常态救灾相统一，推动防灾减灾救灾工作从注重灾后救助到注重灾前预防转变、从应对单一灾种向综合减灾转变、从减少灾害损失向减轻灾害风险转变。</w:t>
                  </w:r>
                  <w:bookmarkEnd w:id="4"/>
                </w:p>
                <w:p w:rsidR="00E23AFB" w:rsidRPr="00E23AFB" w:rsidRDefault="00E23AFB" w:rsidP="00E23AFB">
                  <w:pPr>
                    <w:widowControl/>
                    <w:spacing w:line="560" w:lineRule="atLeast"/>
                    <w:ind w:firstLine="498"/>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rPr>
                    <w:t>（一）</w:t>
                  </w:r>
                  <w:r w:rsidRPr="00E23AFB">
                    <w:rPr>
                      <w:rFonts w:ascii="楷体_GB2312" w:eastAsia="楷体_GB2312" w:hAnsi="宋体" w:cs="宋体" w:hint="eastAsia"/>
                      <w:color w:val="000000"/>
                      <w:kern w:val="0"/>
                      <w:sz w:val="30"/>
                    </w:rPr>
                    <w:t>健全防灾减灾救灾管理体制。</w:t>
                  </w:r>
                  <w:r w:rsidRPr="00E23AFB">
                    <w:rPr>
                      <w:rFonts w:ascii="仿宋_GB2312" w:eastAsia="仿宋_GB2312" w:hAnsi="宋体" w:cs="宋体" w:hint="eastAsia"/>
                      <w:color w:val="000000"/>
                      <w:kern w:val="0"/>
                      <w:sz w:val="30"/>
                    </w:rPr>
                    <w:t>坚持“统一领导、分级负责、相互协同、属地为主”原则，加强省减灾委及其办公室统筹研究和综合协调职能，强化党委政府主体责任，充分体现综合功能，整合多方资源，统筹兼顾防灾减灾救灾工作各个环节。</w:t>
                  </w:r>
                </w:p>
                <w:p w:rsidR="00E23AFB" w:rsidRPr="00E23AFB" w:rsidRDefault="00E23AFB" w:rsidP="00E23AFB">
                  <w:pPr>
                    <w:widowControl/>
                    <w:spacing w:line="560" w:lineRule="atLeast"/>
                    <w:ind w:firstLine="498"/>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rPr>
                    <w:t>（二）</w:t>
                  </w:r>
                  <w:r w:rsidRPr="00E23AFB">
                    <w:rPr>
                      <w:rFonts w:ascii="楷体_GB2312" w:eastAsia="楷体_GB2312" w:hAnsi="宋体" w:cs="宋体" w:hint="eastAsia"/>
                      <w:color w:val="000000"/>
                      <w:kern w:val="0"/>
                      <w:sz w:val="30"/>
                    </w:rPr>
                    <w:t>完善防灾减灾救灾工作机制。</w:t>
                  </w:r>
                  <w:r w:rsidRPr="00E23AFB">
                    <w:rPr>
                      <w:rFonts w:ascii="仿宋_GB2312" w:eastAsia="仿宋_GB2312" w:hAnsi="宋体" w:cs="宋体" w:hint="eastAsia"/>
                      <w:color w:val="000000"/>
                      <w:kern w:val="0"/>
                      <w:sz w:val="30"/>
                    </w:rPr>
                    <w:t>加强涉灾部门的协调配合和应急联动，完善自然灾害监测预警预报和群防群测机制；建立和完善军地协同联动、救援力量调配、物资储运调配等应急联动机制；完善防灾基础设施建设、生活保障安排、物资装备储备等方面的财政投入机制；完善灾害救助预算资金与经济社会发展、人民群众生活水平相适应的自然增长机制；建立灾后救助、灾害损失评估、恢复重建规划与实施等长效机制。</w:t>
                  </w:r>
                </w:p>
                <w:p w:rsidR="00E23AFB" w:rsidRPr="00E23AFB" w:rsidRDefault="00E23AFB" w:rsidP="00E23AFB">
                  <w:pPr>
                    <w:widowControl/>
                    <w:spacing w:line="560" w:lineRule="atLeast"/>
                    <w:ind w:firstLine="498"/>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rPr>
                    <w:t>（三）</w:t>
                  </w:r>
                  <w:r w:rsidRPr="00E23AFB">
                    <w:rPr>
                      <w:rFonts w:ascii="楷体_GB2312" w:eastAsia="楷体_GB2312" w:hAnsi="宋体" w:cs="宋体" w:hint="eastAsia"/>
                      <w:color w:val="000000"/>
                      <w:kern w:val="0"/>
                      <w:sz w:val="30"/>
                    </w:rPr>
                    <w:t>提升灾害应急处置和恢复重建能力</w:t>
                  </w:r>
                  <w:r w:rsidRPr="00E23AFB">
                    <w:rPr>
                      <w:rFonts w:ascii="仿宋_GB2312" w:eastAsia="仿宋_GB2312" w:hAnsi="宋体" w:cs="宋体" w:hint="eastAsia"/>
                      <w:b/>
                      <w:bCs/>
                      <w:color w:val="000000"/>
                      <w:kern w:val="0"/>
                      <w:sz w:val="30"/>
                    </w:rPr>
                    <w:t>。</w:t>
                  </w:r>
                  <w:r w:rsidRPr="00E23AFB">
                    <w:rPr>
                      <w:rFonts w:ascii="仿宋_GB2312" w:eastAsia="仿宋_GB2312" w:hAnsi="宋体" w:cs="宋体" w:hint="eastAsia"/>
                      <w:color w:val="000000"/>
                      <w:kern w:val="0"/>
                      <w:sz w:val="30"/>
                    </w:rPr>
                    <w:t>建立健全纵向衔接、横向支撑的省、市、县、乡四级救灾物资储备网络，科学优化救灾物资储备库（站、点）布局，统筹安排实物储备和能力储备。切实做好受灾群众紧急救助、过渡时期生活救助、倒损房屋恢复重建和冬春救助等工作，确保灾害发生后12小时内受灾人员得到初步救助。</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黑体" w:eastAsia="黑体" w:hAnsi="宋体" w:cs="宋体" w:hint="eastAsia"/>
                      <w:color w:val="000000"/>
                      <w:kern w:val="0"/>
                      <w:sz w:val="28"/>
                      <w:szCs w:val="28"/>
                      <w:shd w:val="clear" w:color="auto" w:fill="FFFFFF"/>
                    </w:rPr>
                    <w:t>专栏3</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2"/>
                    </w:rPr>
                    <w:t>综合防灾减灾体系建设工程</w:t>
                  </w:r>
                </w:p>
                <w:tbl>
                  <w:tblPr>
                    <w:tblW w:w="4900" w:type="pct"/>
                    <w:jc w:val="center"/>
                    <w:tblCellMar>
                      <w:left w:w="0" w:type="dxa"/>
                      <w:right w:w="0" w:type="dxa"/>
                    </w:tblCellMar>
                    <w:tblLook w:val="04A0"/>
                  </w:tblPr>
                  <w:tblGrid>
                    <w:gridCol w:w="10743"/>
                  </w:tblGrid>
                  <w:tr w:rsidR="00E23AFB" w:rsidRPr="00E23AFB">
                    <w:trPr>
                      <w:trHeight w:val="2872"/>
                      <w:jc w:val="center"/>
                    </w:trPr>
                    <w:tc>
                      <w:tcPr>
                        <w:tcW w:w="8879" w:type="dxa"/>
                        <w:tcBorders>
                          <w:top w:val="single" w:sz="8"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E23AFB" w:rsidRPr="00E23AFB" w:rsidRDefault="00E23AFB" w:rsidP="00E23AFB">
                        <w:pPr>
                          <w:widowControl/>
                          <w:spacing w:line="560" w:lineRule="atLeast"/>
                          <w:ind w:firstLine="504"/>
                          <w:jc w:val="left"/>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自然灾害救助物资储备体系建设项目：完成河南省救灾物资储备库迁建工程，规划建设6个省辖市、9个县（市）的救灾物资储备库建设项目。至2020年，形成以中央储备为核心、省级储备为支撑、乡镇和社区储备点为补充的救灾物资储备体系。</w:t>
                        </w:r>
                      </w:p>
                      <w:p w:rsidR="00E23AFB" w:rsidRPr="00E23AFB" w:rsidRDefault="00E23AFB" w:rsidP="00E23AFB">
                        <w:pPr>
                          <w:widowControl/>
                          <w:spacing w:line="560" w:lineRule="atLeast"/>
                          <w:ind w:firstLine="504"/>
                          <w:jc w:val="left"/>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防灾基础设施建设项目：继续做好综合减灾示范社区与应急避难场所示范工程建设，创建200个国家级综合减灾示范社区、300个省级综合减灾示范社区。在每个省辖市的农村和城市分别新建或改建1-2个综合性示范应急避难场所。</w:t>
                        </w:r>
                      </w:p>
                    </w:tc>
                  </w:tr>
                </w:tbl>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第三节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建立适度普惠型社会福利服务体系</w:t>
                  </w:r>
                </w:p>
                <w:p w:rsidR="00E23AFB" w:rsidRPr="00E23AFB" w:rsidRDefault="00E23AFB" w:rsidP="00E23AFB">
                  <w:pPr>
                    <w:widowControl/>
                    <w:spacing w:line="560" w:lineRule="atLeast"/>
                    <w:ind w:firstLine="622"/>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rPr>
                    <w:t>以扶老、助残、救孤、济困为重点，逐步拓展社会福利保障范围，推动社会福利由补缺型向适度普惠型转变。加强儿童、残疾人、精神卫生等专业社会福利机构建设，推动人口较大县（市）或孤儿数量较多县（市）建设儿童福利机构，强化社会福利机构兜底功能。建立农村“三留守”人员关爱服务体系，关注流动家庭、留守家庭、空巢家庭、单人家庭生存状况，依托农村幸福院、社区服务中心（站）等建设农村留守人员关爱服务机构，着力解决农村留守人员在生活、生产、教育、安全等方面的困难和问题。加强困境儿童社会保护体系建设，建立健全集中养育、家庭领养、模拟家庭照顾、助养、代养、家庭寄养相结合的孤儿替代养护制度，保障困境儿童生活、教育、安全、康复、医疗和适龄就业等基本需求。开展孤残儿童专项福利救助活动，探索投保儿童重大疾病医疗保险，健全残疾儿童康复救助制度，基本建成城乡一体、保障有力、服务专业、覆盖全面的儿童福利服务体系。全面建立困难残疾人生活补贴和重度残疾人护理补贴制度，鼓励有条件地区探索建立贫困残疾人、重度残疾人康复辅助器具配置补贴制度。</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第四节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推动慈善事业健康发展</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认真贯彻落实慈善法，完善监管体系，规范慈善主体行为，激发各类慈善主体发展活力，</w:t>
                  </w:r>
                  <w:r w:rsidRPr="00E23AFB">
                    <w:rPr>
                      <w:rFonts w:ascii="仿宋_GB2312" w:eastAsia="仿宋_GB2312" w:hAnsi="宋体" w:cs="宋体" w:hint="eastAsia"/>
                      <w:color w:val="000000"/>
                      <w:kern w:val="0"/>
                      <w:sz w:val="30"/>
                      <w:szCs w:val="30"/>
                      <w:shd w:val="clear" w:color="auto" w:fill="FFFFFF"/>
                    </w:rPr>
                    <w:t>加快形成依法治理、制度完善、作用显著、管理规范、健康有序的慈善事业发展格局。</w:t>
                  </w:r>
                </w:p>
                <w:p w:rsidR="00E23AFB" w:rsidRPr="00E23AFB" w:rsidRDefault="00E23AFB" w:rsidP="00E23AFB">
                  <w:pPr>
                    <w:widowControl/>
                    <w:spacing w:line="560" w:lineRule="atLeast"/>
                    <w:ind w:firstLine="498"/>
                    <w:jc w:val="left"/>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szCs w:val="30"/>
                      <w:shd w:val="clear" w:color="auto" w:fill="FFFFFF"/>
                    </w:rPr>
                    <w:t>（一）强化管理服务。</w:t>
                  </w:r>
                  <w:r w:rsidRPr="00E23AFB">
                    <w:rPr>
                      <w:rFonts w:ascii="仿宋_GB2312" w:eastAsia="仿宋_GB2312" w:hAnsi="宋体" w:cs="宋体" w:hint="eastAsia"/>
                      <w:color w:val="000000"/>
                      <w:kern w:val="0"/>
                      <w:sz w:val="30"/>
                      <w:szCs w:val="30"/>
                      <w:shd w:val="clear" w:color="auto" w:fill="FFFFFF"/>
                    </w:rPr>
                    <w:t>落实慈善组织登记认定、年度报告和信息公开制度。落实公开募捐资格许可制度，规范公开募捐行为。保障慈善财产合法使用，确保实现慈善组织宗旨。推动完善慈善组织内部治理，建立健全以章程为核心的内部管理制度，有效发</w:t>
                  </w:r>
                  <w:r w:rsidRPr="00E23AFB">
                    <w:rPr>
                      <w:rFonts w:ascii="仿宋_GB2312" w:eastAsia="仿宋_GB2312" w:hAnsi="宋体" w:cs="宋体" w:hint="eastAsia"/>
                      <w:color w:val="000000"/>
                      <w:spacing w:val="-4"/>
                      <w:kern w:val="0"/>
                      <w:sz w:val="30"/>
                      <w:szCs w:val="30"/>
                      <w:shd w:val="clear" w:color="auto" w:fill="FFFFFF"/>
                    </w:rPr>
                    <w:t>挥决策机构、执行机构和监督机构的职能作用。加强慈善信托备案管理工作，充分发挥慈善信托在拓宽慈善参与中的载体作用。完善经常性社会捐助体系，推进慈善超市和社会捐助站点运营机制改革。协调落实优惠政策和支持条件，广泛动员社会公众参与慈善活动。</w:t>
                  </w:r>
                </w:p>
                <w:p w:rsidR="00E23AFB" w:rsidRPr="00E23AFB" w:rsidRDefault="00E23AFB" w:rsidP="00E23AFB">
                  <w:pPr>
                    <w:widowControl/>
                    <w:spacing w:line="560" w:lineRule="atLeast"/>
                    <w:ind w:firstLine="498"/>
                    <w:jc w:val="left"/>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szCs w:val="30"/>
                      <w:shd w:val="clear" w:color="auto" w:fill="FFFFFF"/>
                    </w:rPr>
                    <w:t>（二）激发内在活力。</w:t>
                  </w:r>
                  <w:r w:rsidRPr="00E23AFB">
                    <w:rPr>
                      <w:rFonts w:ascii="仿宋_GB2312" w:eastAsia="仿宋_GB2312" w:hAnsi="宋体" w:cs="宋体" w:hint="eastAsia"/>
                      <w:color w:val="000000"/>
                      <w:kern w:val="0"/>
                      <w:sz w:val="30"/>
                      <w:szCs w:val="30"/>
                      <w:shd w:val="clear" w:color="auto" w:fill="FFFFFF"/>
                    </w:rPr>
                    <w:t>建立和完善慈善表彰奖励制度，组织实施好“河南慈善奖”评选表彰，支持捐赠人对捐赠的慈善项目冠名纪念。鼓励慈善行业和高等院校开展慈善专业人才培养，支持举办各类慈善交流展示活动。发挥慈善行业组织作用，反映行</w:t>
                  </w:r>
                  <w:r w:rsidRPr="00E23AFB">
                    <w:rPr>
                      <w:rFonts w:ascii="仿宋_GB2312" w:eastAsia="仿宋_GB2312" w:hAnsi="宋体" w:cs="宋体" w:hint="eastAsia"/>
                      <w:color w:val="000000"/>
                      <w:spacing w:val="-4"/>
                      <w:kern w:val="0"/>
                      <w:sz w:val="30"/>
                      <w:szCs w:val="30"/>
                      <w:shd w:val="clear" w:color="auto" w:fill="FFFFFF"/>
                    </w:rPr>
                    <w:t>业诉求，推动行业交流，提高慈善行业公信力，促进慈善事业发展。</w:t>
                  </w:r>
                </w:p>
                <w:p w:rsidR="00E23AFB" w:rsidRPr="00E23AFB" w:rsidRDefault="00E23AFB" w:rsidP="00E23AFB">
                  <w:pPr>
                    <w:widowControl/>
                    <w:spacing w:line="560" w:lineRule="atLeast"/>
                    <w:ind w:firstLine="498"/>
                    <w:jc w:val="left"/>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szCs w:val="30"/>
                      <w:shd w:val="clear" w:color="auto" w:fill="FFFFFF"/>
                    </w:rPr>
                    <w:t>（三）强化综合监管。</w:t>
                  </w:r>
                  <w:r w:rsidRPr="00E23AFB">
                    <w:rPr>
                      <w:rFonts w:ascii="仿宋_GB2312" w:eastAsia="仿宋_GB2312" w:hAnsi="宋体" w:cs="宋体" w:hint="eastAsia"/>
                      <w:color w:val="000000"/>
                      <w:kern w:val="0"/>
                      <w:sz w:val="30"/>
                      <w:szCs w:val="30"/>
                      <w:shd w:val="clear" w:color="auto" w:fill="FFFFFF"/>
                    </w:rPr>
                    <w:t>加强事中事后监管，构建行业自律、社会监督、政府监管相结合的综合监管体系。依托行业组织加强行业自律，指导慈善行业组织建立健全行业规范，加快统一信用代码建设。畅通社会公众对慈善活动的监督渠道，完善投诉举报受理机制，依法及时查处慈善领域违法行为。强化政府监管，推行双随机抽查、约谈、审计、专项检查等监管手段。完善日常监督检查制度，强化源头监管和日常执法。健全慈善组织第三方评估机制，建立慈善组织及其负责人信用记录制度。</w:t>
                  </w:r>
                </w:p>
                <w:p w:rsidR="00E23AFB" w:rsidRPr="00E23AFB" w:rsidRDefault="00E23AFB" w:rsidP="00E23AFB">
                  <w:pPr>
                    <w:widowControl/>
                    <w:spacing w:line="560" w:lineRule="atLeast"/>
                    <w:ind w:firstLine="498"/>
                    <w:jc w:val="left"/>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szCs w:val="30"/>
                      <w:shd w:val="clear" w:color="auto" w:fill="FFFFFF"/>
                    </w:rPr>
                    <w:t>（四）发展福彩事业。</w:t>
                  </w:r>
                  <w:r w:rsidRPr="00E23AFB">
                    <w:rPr>
                      <w:rFonts w:ascii="仿宋_GB2312" w:eastAsia="仿宋_GB2312" w:hAnsi="宋体" w:cs="宋体" w:hint="eastAsia"/>
                      <w:color w:val="000000"/>
                      <w:spacing w:val="-4"/>
                      <w:kern w:val="0"/>
                      <w:sz w:val="30"/>
                      <w:szCs w:val="30"/>
                    </w:rPr>
                    <w:t>加大对福利彩票工作的政策支持力度，加强福彩文化建设，提升福彩公益品牌形象，探索建立与福彩事业</w:t>
                  </w:r>
                  <w:r w:rsidRPr="00E23AFB">
                    <w:rPr>
                      <w:rFonts w:ascii="仿宋_GB2312" w:eastAsia="仿宋_GB2312" w:hAnsi="宋体" w:cs="宋体" w:hint="eastAsia"/>
                      <w:color w:val="000000"/>
                      <w:spacing w:val="-6"/>
                      <w:kern w:val="0"/>
                      <w:sz w:val="30"/>
                      <w:szCs w:val="30"/>
                    </w:rPr>
                    <w:t>发展相适应的体制机制，积极推进市场化运作模式，稳步扩大福利彩票发行规模和彩票公益金筹集额度，提升福利彩票公益金使用效率。</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第五节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开展援疆和脱贫攻坚</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按照民政部的统一部署，加强对新疆哈密地区和兵团十三师的民政对口援疆工作，加大对口支援工作力度，重点加强人才培训、信息指导、工作交流，助推受援地民政事业健康发展。充分发挥社会保障政策在脱贫攻坚中的兜底保障作用，推进农村最低生活保障制度与扶贫政策有效对接，逐步提高保障水平，实现扶贫标准线和低保标准线两线合一。及时将符合条件建档立卡贫困户全部纳入农村低保范围。加大农村贫困人口医疗救助力度，减轻困难群众看病就医负担。鼓励、引导和支持社会组织参与扶贫开发，建立健全社会组织参与扶贫开发协调服务机制。</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黑体" w:eastAsia="黑体" w:hAnsi="宋体" w:cs="宋体" w:hint="eastAsia"/>
                      <w:color w:val="000000"/>
                      <w:kern w:val="0"/>
                      <w:sz w:val="28"/>
                      <w:szCs w:val="28"/>
                    </w:rPr>
                    <w:t>专栏4</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2"/>
                    </w:rPr>
                    <w:t>慈善福利体系建设工程</w:t>
                  </w:r>
                </w:p>
                <w:tbl>
                  <w:tblPr>
                    <w:tblW w:w="4900" w:type="pct"/>
                    <w:jc w:val="center"/>
                    <w:tblCellMar>
                      <w:left w:w="0" w:type="dxa"/>
                      <w:right w:w="0" w:type="dxa"/>
                    </w:tblCellMar>
                    <w:tblLook w:val="04A0"/>
                  </w:tblPr>
                  <w:tblGrid>
                    <w:gridCol w:w="10743"/>
                  </w:tblGrid>
                  <w:tr w:rsidR="00E23AFB" w:rsidRPr="00E23AFB">
                    <w:trPr>
                      <w:trHeight w:val="6155"/>
                      <w:jc w:val="center"/>
                    </w:trPr>
                    <w:tc>
                      <w:tcPr>
                        <w:tcW w:w="88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23AFB" w:rsidRPr="00E23AFB" w:rsidRDefault="00E23AFB" w:rsidP="00E23AFB">
                        <w:pPr>
                          <w:widowControl/>
                          <w:spacing w:line="560" w:lineRule="atLeast"/>
                          <w:ind w:firstLine="504"/>
                          <w:jc w:val="left"/>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儿童福利机构规范化建设项目：</w:t>
                        </w:r>
                        <w:r w:rsidRPr="00E23AFB">
                          <w:rPr>
                            <w:rFonts w:ascii="仿宋_GB2312" w:eastAsia="仿宋_GB2312" w:hAnsi="宋体" w:cs="宋体" w:hint="eastAsia"/>
                            <w:color w:val="000000"/>
                            <w:kern w:val="0"/>
                            <w:sz w:val="24"/>
                            <w:szCs w:val="24"/>
                          </w:rPr>
                          <w:t>继续加强儿童福利机构基础设施和配套设施建设，实施儿童福利机构建设“蓝天计划”，2020年底之前，在人口超过50万或者孤儿数超过300名的县（市）新建、改扩建一批儿童福利机构。继续加强康复特教服务功能，不断提高儿童福利机构养护、医疗、康复、教育能力，2020年底之前，争取在一半以上的省辖市儿童福利机构和具备条件的县（市）儿童福利机构设立特殊教育学校或特殊教育班。继续加强儿童福利机构人员教育培训工作，提高机构管理服务规范化水平，力争在2020年底之前，福利机构孤残儿童护理员持证上岗率不低于70%。</w:t>
                        </w:r>
                      </w:p>
                      <w:p w:rsidR="00E23AFB" w:rsidRPr="00E23AFB" w:rsidRDefault="00E23AFB" w:rsidP="00E23AFB">
                        <w:pPr>
                          <w:widowControl/>
                          <w:spacing w:line="560" w:lineRule="atLeast"/>
                          <w:ind w:firstLine="504"/>
                          <w:jc w:val="left"/>
                          <w:rPr>
                            <w:rFonts w:ascii="宋体" w:eastAsia="宋体" w:hAnsi="宋体" w:cs="宋体" w:hint="eastAsia"/>
                            <w:color w:val="000000"/>
                            <w:kern w:val="0"/>
                            <w:sz w:val="15"/>
                            <w:szCs w:val="15"/>
                          </w:rPr>
                        </w:pPr>
                        <w:r w:rsidRPr="00E23AFB">
                          <w:rPr>
                            <w:rFonts w:ascii="仿宋_GB2312" w:eastAsia="仿宋_GB2312" w:hAnsi="宋体" w:cs="宋体" w:hint="eastAsia"/>
                            <w:b/>
                            <w:bCs/>
                            <w:color w:val="000000"/>
                            <w:kern w:val="0"/>
                            <w:sz w:val="24"/>
                            <w:szCs w:val="24"/>
                          </w:rPr>
                          <w:t>关爱困境儿童项目：</w:t>
                        </w:r>
                        <w:r w:rsidRPr="00E23AFB">
                          <w:rPr>
                            <w:rFonts w:ascii="仿宋_GB2312" w:eastAsia="仿宋_GB2312" w:hAnsi="宋体" w:cs="宋体" w:hint="eastAsia"/>
                            <w:color w:val="000000"/>
                            <w:kern w:val="0"/>
                            <w:sz w:val="24"/>
                            <w:szCs w:val="24"/>
                          </w:rPr>
                          <w:t>利用福彩公益金资助市县儿童福利指导中心建设和基层儿童福利服务体系建设，构建以儿童信息报告监测反馈机制、儿童福利台账机制、儿童帮扶机制、多部门联动机制为核心内容，以“村儿童之家”为活动场所，以“村儿童福利主任队伍”为村社工作力量的儿童福利服务网络。力争在2020年底之前，市县两级儿童福利指导中心全部建成。积极推进基层儿童福利服务体系建设，2020年底之前，全省村级儿童之家不低于500个。</w:t>
                        </w:r>
                      </w:p>
                      <w:p w:rsidR="00E23AFB" w:rsidRPr="00E23AFB" w:rsidRDefault="00E23AFB" w:rsidP="00E23AFB">
                        <w:pPr>
                          <w:widowControl/>
                          <w:spacing w:line="560" w:lineRule="atLeast"/>
                          <w:ind w:firstLine="504"/>
                          <w:jc w:val="left"/>
                          <w:rPr>
                            <w:rFonts w:ascii="宋体" w:eastAsia="宋体" w:hAnsi="宋体" w:cs="宋体" w:hint="eastAsia"/>
                            <w:color w:val="000000"/>
                            <w:kern w:val="0"/>
                            <w:sz w:val="15"/>
                            <w:szCs w:val="15"/>
                          </w:rPr>
                        </w:pPr>
                        <w:r w:rsidRPr="00E23AFB">
                          <w:rPr>
                            <w:rFonts w:ascii="仿宋_GB2312" w:eastAsia="仿宋_GB2312" w:hAnsi="宋体" w:cs="宋体" w:hint="eastAsia"/>
                            <w:b/>
                            <w:bCs/>
                            <w:color w:val="000000"/>
                            <w:kern w:val="0"/>
                            <w:sz w:val="24"/>
                            <w:szCs w:val="24"/>
                          </w:rPr>
                          <w:t>县级未成年人救助保护中心建设项目：</w:t>
                        </w:r>
                        <w:r w:rsidRPr="00E23AFB">
                          <w:rPr>
                            <w:rFonts w:ascii="仿宋_GB2312" w:eastAsia="仿宋_GB2312" w:hAnsi="宋体" w:cs="宋体" w:hint="eastAsia"/>
                            <w:color w:val="000000"/>
                            <w:kern w:val="0"/>
                            <w:sz w:val="24"/>
                            <w:szCs w:val="24"/>
                          </w:rPr>
                          <w:t>在省直管县（市）或人口较大县（市）建设未成年人救助保护中心。</w:t>
                        </w:r>
                      </w:p>
                      <w:p w:rsidR="00E23AFB" w:rsidRPr="00E23AFB" w:rsidRDefault="00E23AFB" w:rsidP="00E23AFB">
                        <w:pPr>
                          <w:widowControl/>
                          <w:spacing w:line="560" w:lineRule="atLeast"/>
                          <w:ind w:firstLine="504"/>
                          <w:jc w:val="left"/>
                          <w:rPr>
                            <w:rFonts w:ascii="宋体" w:eastAsia="宋体" w:hAnsi="宋体" w:cs="宋体" w:hint="eastAsia"/>
                            <w:color w:val="000000"/>
                            <w:kern w:val="0"/>
                            <w:sz w:val="15"/>
                            <w:szCs w:val="15"/>
                          </w:rPr>
                        </w:pPr>
                        <w:r w:rsidRPr="00E23AFB">
                          <w:rPr>
                            <w:rFonts w:ascii="仿宋_GB2312" w:eastAsia="仿宋_GB2312" w:hAnsi="宋体" w:cs="宋体" w:hint="eastAsia"/>
                            <w:b/>
                            <w:bCs/>
                            <w:color w:val="000000"/>
                            <w:kern w:val="0"/>
                            <w:sz w:val="24"/>
                            <w:szCs w:val="24"/>
                          </w:rPr>
                          <w:t>残疾人康复辅具安装或更换项目：</w:t>
                        </w:r>
                        <w:r w:rsidRPr="00E23AFB">
                          <w:rPr>
                            <w:rFonts w:ascii="仿宋_GB2312" w:eastAsia="仿宋_GB2312" w:hAnsi="宋体" w:cs="宋体" w:hint="eastAsia"/>
                            <w:color w:val="000000"/>
                            <w:kern w:val="0"/>
                            <w:sz w:val="24"/>
                            <w:szCs w:val="24"/>
                          </w:rPr>
                          <w:t>推动建立困难残疾人生活补贴和重度残疾人护理补贴制度，完善省内康复辅助器具服务网点建设，建立辅助器具适配服务体系，免费为贫困家庭中的残疾人配备康复辅助器具，做好全省革命残疾军人康复辅具保障工作；继续依托省康复辅具技术中心实施为贫困残疾人免费安装更换康复辅具活动，2020年底之前，确保服务目标人群在2500人次以上。</w:t>
                        </w:r>
                      </w:p>
                      <w:p w:rsidR="00E23AFB" w:rsidRPr="00E23AFB" w:rsidRDefault="00E23AFB" w:rsidP="00E23AFB">
                        <w:pPr>
                          <w:widowControl/>
                          <w:spacing w:line="560" w:lineRule="atLeast"/>
                          <w:ind w:firstLine="494"/>
                          <w:jc w:val="left"/>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完善民政精神卫生福利机构：</w:t>
                        </w:r>
                        <w:r w:rsidRPr="00E23AFB">
                          <w:rPr>
                            <w:rFonts w:ascii="仿宋_GB2312" w:eastAsia="仿宋_GB2312" w:hAnsi="宋体" w:cs="宋体" w:hint="eastAsia"/>
                            <w:color w:val="000000"/>
                            <w:kern w:val="0"/>
                            <w:sz w:val="24"/>
                            <w:szCs w:val="24"/>
                          </w:rPr>
                          <w:t>每年新建1所和改建1所民政精神卫生福利机构，到2020年，力争每个省辖市都有1所民政精神卫生福利机构。</w:t>
                        </w:r>
                      </w:p>
                    </w:tc>
                  </w:tr>
                </w:tbl>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bookmarkStart w:id="5" w:name="_Toc438536493"/>
                  <w:r w:rsidRPr="00E23AFB">
                    <w:rPr>
                      <w:rFonts w:ascii="黑体" w:eastAsia="黑体" w:hAnsi="宋体" w:cs="宋体" w:hint="eastAsia"/>
                      <w:color w:val="000000"/>
                      <w:kern w:val="0"/>
                      <w:sz w:val="30"/>
                    </w:rPr>
                    <w:t>第</w:t>
                  </w:r>
                  <w:bookmarkEnd w:id="5"/>
                  <w:r w:rsidRPr="00E23AFB">
                    <w:rPr>
                      <w:rFonts w:ascii="黑体" w:eastAsia="黑体" w:hAnsi="宋体" w:cs="宋体" w:hint="eastAsia"/>
                      <w:color w:val="000000"/>
                      <w:kern w:val="0"/>
                      <w:sz w:val="30"/>
                    </w:rPr>
                    <w:t>三章</w:t>
                  </w:r>
                  <w:r w:rsidRPr="00E23AFB">
                    <w:rPr>
                      <w:rFonts w:ascii="黑体" w:eastAsia="黑体" w:hAnsi="宋体" w:cs="宋体" w:hint="eastAsia"/>
                      <w:color w:val="000000"/>
                      <w:kern w:val="0"/>
                      <w:sz w:val="30"/>
                    </w:rPr>
                    <w:t> </w:t>
                  </w:r>
                  <w:r w:rsidRPr="00E23AFB">
                    <w:rPr>
                      <w:rFonts w:ascii="黑体" w:eastAsia="黑体" w:hAnsi="宋体" w:cs="宋体" w:hint="eastAsia"/>
                      <w:color w:val="000000"/>
                      <w:kern w:val="0"/>
                      <w:sz w:val="30"/>
                    </w:rPr>
                    <w:t>大力发展养老事业</w:t>
                  </w:r>
                </w:p>
                <w:p w:rsidR="00E23AFB" w:rsidRPr="00E23AFB" w:rsidRDefault="00E23AFB" w:rsidP="00E23AFB">
                  <w:pPr>
                    <w:widowControl/>
                    <w:spacing w:line="560" w:lineRule="atLeast"/>
                    <w:ind w:firstLine="622"/>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rPr>
                    <w:t>围绕满足老年人多样式、多层次、个性化养老服务需求，加快推进养老服务业转型升级，把养老服务业培育成为我省重要的服务产业，成为助推经济发展的新动力引擎和新基础支撑。</w:t>
                  </w:r>
                </w:p>
                <w:p w:rsidR="00E23AFB" w:rsidRPr="00E23AFB" w:rsidRDefault="00E23AFB" w:rsidP="00E23AFB">
                  <w:pPr>
                    <w:widowControl/>
                    <w:spacing w:line="560" w:lineRule="atLeast"/>
                    <w:ind w:firstLine="498"/>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rPr>
                    <w:t>（一）完善社会养老服务体系。</w:t>
                  </w:r>
                  <w:r w:rsidRPr="00E23AFB">
                    <w:rPr>
                      <w:rFonts w:ascii="仿宋_GB2312" w:eastAsia="仿宋_GB2312" w:hAnsi="宋体" w:cs="宋体" w:hint="eastAsia"/>
                      <w:color w:val="000000"/>
                      <w:kern w:val="0"/>
                      <w:sz w:val="30"/>
                    </w:rPr>
                    <w:t>积极应对人口老龄化，大力弘扬敬老、养老、助老社会风尚，建设以居家为基础、社区为依托、机构为补充、医养相结合的多层次养老服务体系，争取到2020年末,符合标准的日间照料中心、老年人活动中心等服务设施覆盖所有城市社区，90%以上的乡镇和60%以上的</w:t>
                  </w:r>
                  <w:r w:rsidRPr="00E23AFB">
                    <w:rPr>
                      <w:rFonts w:ascii="仿宋_GB2312" w:eastAsia="仿宋_GB2312" w:hAnsi="宋体" w:cs="宋体" w:hint="eastAsia"/>
                      <w:color w:val="000000"/>
                      <w:spacing w:val="-4"/>
                      <w:kern w:val="0"/>
                      <w:sz w:val="30"/>
                    </w:rPr>
                    <w:t>农村社区建立包括养老服务在内的社区综合服务设施和站点，每千名老年人拥有养老床位数达到35张,护理型床位比例达到30%。</w:t>
                  </w:r>
                  <w:r w:rsidRPr="00E23AFB">
                    <w:rPr>
                      <w:rFonts w:ascii="仿宋_GB2312" w:eastAsia="仿宋_GB2312" w:hAnsi="宋体" w:cs="宋体" w:hint="eastAsia"/>
                      <w:color w:val="000000"/>
                      <w:kern w:val="0"/>
                      <w:sz w:val="30"/>
                    </w:rPr>
                    <w:t>在少数民族聚居的地方建立的养老服务机构应考虑照顾少数民族风俗、生活习惯。</w:t>
                  </w:r>
                </w:p>
                <w:p w:rsidR="00E23AFB" w:rsidRPr="00E23AFB" w:rsidRDefault="00E23AFB" w:rsidP="00E23AFB">
                  <w:pPr>
                    <w:widowControl/>
                    <w:spacing w:line="560" w:lineRule="atLeast"/>
                    <w:ind w:firstLine="498"/>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rPr>
                    <w:t>（二）健全基本养老服务制度。</w:t>
                  </w:r>
                  <w:r w:rsidRPr="00E23AFB">
                    <w:rPr>
                      <w:rFonts w:ascii="仿宋_GB2312" w:eastAsia="仿宋_GB2312" w:hAnsi="宋体" w:cs="宋体" w:hint="eastAsia"/>
                      <w:color w:val="000000"/>
                      <w:kern w:val="0"/>
                      <w:sz w:val="30"/>
                    </w:rPr>
                    <w:t>完善市场准入制度，全面放开养老服务市场，鼓励社会力量、民间资本参与养老服务业，支持各类市场主体增加养老服务和产品供给；鼓励开发各类养老服务业保险产品，支持有条件的地区积极探索建立有效、可持续的长期护理保险制度和机构综合责任保险制度，建立针对独生子女伤残死亡家庭、经济困难高龄、失能半失能等老人补贴制度；推动</w:t>
                  </w:r>
                  <w:r w:rsidRPr="00E23AFB">
                    <w:rPr>
                      <w:rFonts w:ascii="仿宋_GB2312" w:eastAsia="仿宋_GB2312" w:hAnsi="宋体" w:cs="宋体" w:hint="eastAsia"/>
                      <w:color w:val="000000"/>
                      <w:spacing w:val="-4"/>
                      <w:kern w:val="0"/>
                      <w:sz w:val="30"/>
                    </w:rPr>
                    <w:t>普遍建立经济困难老年人养老服务补贴、高龄津贴和护理补贴制度。</w:t>
                  </w:r>
                </w:p>
                <w:p w:rsidR="00E23AFB" w:rsidRPr="00E23AFB" w:rsidRDefault="00E23AFB" w:rsidP="00E23AFB">
                  <w:pPr>
                    <w:widowControl/>
                    <w:spacing w:line="560" w:lineRule="atLeast"/>
                    <w:ind w:firstLine="498"/>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rPr>
                    <w:t>（三）提升农村养老服务质量。</w:t>
                  </w:r>
                  <w:r w:rsidRPr="00E23AFB">
                    <w:rPr>
                      <w:rFonts w:ascii="仿宋_GB2312" w:eastAsia="仿宋_GB2312" w:hAnsi="宋体" w:cs="宋体" w:hint="eastAsia"/>
                      <w:color w:val="000000"/>
                      <w:kern w:val="0"/>
                      <w:sz w:val="30"/>
                    </w:rPr>
                    <w:t>依托行政村、较大自然村，充分利用农家大院等，建设日间照料中心、幸福院、托老所、老年活动站等互助性养老服务设施，逐步提高特困人员集中供养标准，改善特困人员集中供养机构供养设施水平，推进特困人员集中供养机构社会化改革和转型升级，打造区域性养老中心。充分发挥村民自治功能和老年协会作用，督促家庭成员承担赡养责任，组织开展邻里互助、志愿服务等与老年人相关的活动。</w:t>
                  </w:r>
                </w:p>
                <w:p w:rsidR="00E23AFB" w:rsidRPr="00E23AFB" w:rsidRDefault="00E23AFB" w:rsidP="00E23AFB">
                  <w:pPr>
                    <w:widowControl/>
                    <w:spacing w:line="560" w:lineRule="atLeast"/>
                    <w:ind w:firstLine="498"/>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rPr>
                    <w:t>（四）推动医疗卫生和养老服务相结合</w:t>
                  </w:r>
                  <w:r w:rsidRPr="00E23AFB">
                    <w:rPr>
                      <w:rFonts w:ascii="仿宋_GB2312" w:eastAsia="仿宋_GB2312" w:hAnsi="宋体" w:cs="宋体" w:hint="eastAsia"/>
                      <w:b/>
                      <w:bCs/>
                      <w:color w:val="000000"/>
                      <w:kern w:val="0"/>
                      <w:sz w:val="30"/>
                    </w:rPr>
                    <w:t>。</w:t>
                  </w:r>
                  <w:r w:rsidRPr="00E23AFB">
                    <w:rPr>
                      <w:rFonts w:ascii="仿宋_GB2312" w:eastAsia="仿宋_GB2312" w:hAnsi="宋体" w:cs="宋体" w:hint="eastAsia"/>
                      <w:color w:val="000000"/>
                      <w:kern w:val="0"/>
                      <w:sz w:val="30"/>
                    </w:rPr>
                    <w:t>鼓励养老机构与周边医疗卫生机构开展多种形式的协议合作；支持养老机构开展医疗服务，符合条件的可按规定与城乡基本医疗保险经办机构签订基本医疗保险定点服务协议；鼓励医疗机构将护理服务延伸至家庭、城乡社区和养老机构；实施养老服务信息惠民和养老机构远程医疗等试点项目，推进智慧型医养护一体化发展。</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黑体" w:eastAsia="黑体" w:hAnsi="宋体" w:cs="宋体" w:hint="eastAsia"/>
                      <w:color w:val="000000"/>
                      <w:kern w:val="0"/>
                      <w:sz w:val="28"/>
                      <w:szCs w:val="28"/>
                    </w:rPr>
                    <w:t>专栏5</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2"/>
                    </w:rPr>
                    <w:t>社会养老服务体系建设工程</w:t>
                  </w:r>
                </w:p>
                <w:tbl>
                  <w:tblPr>
                    <w:tblW w:w="0" w:type="auto"/>
                    <w:jc w:val="center"/>
                    <w:tblCellMar>
                      <w:left w:w="0" w:type="dxa"/>
                      <w:right w:w="0" w:type="dxa"/>
                    </w:tblCellMar>
                    <w:tblLook w:val="04A0"/>
                  </w:tblPr>
                  <w:tblGrid>
                    <w:gridCol w:w="8825"/>
                  </w:tblGrid>
                  <w:tr w:rsidR="00E23AFB" w:rsidRPr="00E23AFB">
                    <w:trPr>
                      <w:trHeight w:val="3598"/>
                      <w:jc w:val="center"/>
                    </w:trPr>
                    <w:tc>
                      <w:tcPr>
                        <w:tcW w:w="8825"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rsidR="00E23AFB" w:rsidRPr="00E23AFB" w:rsidRDefault="00E23AFB" w:rsidP="00E23AFB">
                        <w:pPr>
                          <w:widowControl/>
                          <w:spacing w:line="560" w:lineRule="atLeast"/>
                          <w:ind w:firstLine="502"/>
                          <w:jc w:val="left"/>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通过新建和改扩建等方式，重点建设一批养老服务设施，改善设施条件，提高服务能力和质量，力争到2020年实现每千名老人拥有养老床位数达到35张，护理型床位达到30%。</w:t>
                        </w:r>
                      </w:p>
                      <w:p w:rsidR="00E23AFB" w:rsidRPr="00E23AFB" w:rsidRDefault="00E23AFB" w:rsidP="00E23AFB">
                        <w:pPr>
                          <w:widowControl/>
                          <w:spacing w:line="560" w:lineRule="atLeast"/>
                          <w:ind w:firstLine="502"/>
                          <w:jc w:val="left"/>
                          <w:rPr>
                            <w:rFonts w:ascii="宋体" w:eastAsia="宋体" w:hAnsi="宋体" w:cs="宋体" w:hint="eastAsia"/>
                            <w:color w:val="000000"/>
                            <w:kern w:val="0"/>
                            <w:sz w:val="15"/>
                            <w:szCs w:val="15"/>
                          </w:rPr>
                        </w:pPr>
                        <w:r w:rsidRPr="00E23AFB">
                          <w:rPr>
                            <w:rFonts w:ascii="仿宋_GB2312" w:eastAsia="仿宋_GB2312" w:hAnsi="宋体" w:cs="宋体" w:hint="eastAsia"/>
                            <w:color w:val="000000"/>
                            <w:kern w:val="0"/>
                            <w:sz w:val="24"/>
                            <w:szCs w:val="24"/>
                          </w:rPr>
                          <w:t>——鼓励、吸引社会力量举办养老机构，强化公办养老机构托底功能和示范作用。</w:t>
                        </w:r>
                      </w:p>
                      <w:p w:rsidR="00E23AFB" w:rsidRPr="00E23AFB" w:rsidRDefault="00E23AFB" w:rsidP="00E23AFB">
                        <w:pPr>
                          <w:widowControl/>
                          <w:spacing w:line="560" w:lineRule="atLeast"/>
                          <w:ind w:firstLine="502"/>
                          <w:jc w:val="left"/>
                          <w:rPr>
                            <w:rFonts w:ascii="宋体" w:eastAsia="宋体" w:hAnsi="宋体" w:cs="宋体" w:hint="eastAsia"/>
                            <w:color w:val="000000"/>
                            <w:kern w:val="0"/>
                            <w:sz w:val="15"/>
                            <w:szCs w:val="15"/>
                          </w:rPr>
                        </w:pPr>
                        <w:r w:rsidRPr="00E23AFB">
                          <w:rPr>
                            <w:rFonts w:ascii="仿宋_GB2312" w:eastAsia="仿宋_GB2312" w:hAnsi="宋体" w:cs="宋体" w:hint="eastAsia"/>
                            <w:color w:val="000000"/>
                            <w:kern w:val="0"/>
                            <w:sz w:val="24"/>
                            <w:szCs w:val="24"/>
                          </w:rPr>
                          <w:t>——支持主要面向失能、半失能老人的老年养护院建设。</w:t>
                        </w:r>
                      </w:p>
                      <w:p w:rsidR="00E23AFB" w:rsidRPr="00E23AFB" w:rsidRDefault="00E23AFB" w:rsidP="00E23AFB">
                        <w:pPr>
                          <w:widowControl/>
                          <w:spacing w:line="560" w:lineRule="atLeast"/>
                          <w:ind w:firstLine="502"/>
                          <w:jc w:val="left"/>
                          <w:rPr>
                            <w:rFonts w:ascii="宋体" w:eastAsia="宋体" w:hAnsi="宋体" w:cs="宋体" w:hint="eastAsia"/>
                            <w:color w:val="000000"/>
                            <w:kern w:val="0"/>
                            <w:sz w:val="15"/>
                            <w:szCs w:val="15"/>
                          </w:rPr>
                        </w:pPr>
                        <w:r w:rsidRPr="00E23AFB">
                          <w:rPr>
                            <w:rFonts w:ascii="仿宋_GB2312" w:eastAsia="仿宋_GB2312" w:hAnsi="宋体" w:cs="宋体" w:hint="eastAsia"/>
                            <w:color w:val="000000"/>
                            <w:kern w:val="0"/>
                            <w:sz w:val="24"/>
                            <w:szCs w:val="24"/>
                          </w:rPr>
                          <w:t>——建设医养结合设施。</w:t>
                        </w:r>
                      </w:p>
                      <w:p w:rsidR="00E23AFB" w:rsidRPr="00E23AFB" w:rsidRDefault="00E23AFB" w:rsidP="00E23AFB">
                        <w:pPr>
                          <w:widowControl/>
                          <w:spacing w:line="560" w:lineRule="atLeast"/>
                          <w:ind w:firstLine="502"/>
                          <w:jc w:val="left"/>
                          <w:rPr>
                            <w:rFonts w:ascii="宋体" w:eastAsia="宋体" w:hAnsi="宋体" w:cs="宋体" w:hint="eastAsia"/>
                            <w:color w:val="000000"/>
                            <w:kern w:val="0"/>
                            <w:sz w:val="15"/>
                            <w:szCs w:val="15"/>
                          </w:rPr>
                        </w:pPr>
                        <w:r w:rsidRPr="00E23AFB">
                          <w:rPr>
                            <w:rFonts w:ascii="仿宋_GB2312" w:eastAsia="仿宋_GB2312" w:hAnsi="宋体" w:cs="宋体" w:hint="eastAsia"/>
                            <w:color w:val="000000"/>
                            <w:kern w:val="0"/>
                            <w:sz w:val="24"/>
                            <w:szCs w:val="24"/>
                          </w:rPr>
                          <w:t>——建设社区老年人日间照料中心、农村幸福院。</w:t>
                        </w:r>
                      </w:p>
                      <w:p w:rsidR="00E23AFB" w:rsidRPr="00E23AFB" w:rsidRDefault="00E23AFB" w:rsidP="00E23AFB">
                        <w:pPr>
                          <w:widowControl/>
                          <w:spacing w:line="560" w:lineRule="atLeast"/>
                          <w:ind w:firstLine="502"/>
                          <w:jc w:val="left"/>
                          <w:rPr>
                            <w:rFonts w:ascii="宋体" w:eastAsia="宋体" w:hAnsi="宋体" w:cs="宋体" w:hint="eastAsia"/>
                            <w:color w:val="000000"/>
                            <w:kern w:val="0"/>
                            <w:sz w:val="15"/>
                            <w:szCs w:val="15"/>
                          </w:rPr>
                        </w:pPr>
                        <w:r w:rsidRPr="00E23AFB">
                          <w:rPr>
                            <w:rFonts w:ascii="仿宋_GB2312" w:eastAsia="仿宋_GB2312" w:hAnsi="宋体" w:cs="宋体" w:hint="eastAsia"/>
                            <w:color w:val="000000"/>
                            <w:kern w:val="0"/>
                            <w:sz w:val="24"/>
                            <w:szCs w:val="24"/>
                          </w:rPr>
                          <w:t>——支持荣誉军人休养院、光荣院、农村敬老院建设。</w:t>
                        </w:r>
                      </w:p>
                      <w:p w:rsidR="00E23AFB" w:rsidRPr="00E23AFB" w:rsidRDefault="00E23AFB" w:rsidP="00E23AFB">
                        <w:pPr>
                          <w:widowControl/>
                          <w:spacing w:line="560" w:lineRule="atLeast"/>
                          <w:ind w:firstLine="502"/>
                          <w:jc w:val="left"/>
                          <w:rPr>
                            <w:rFonts w:ascii="宋体" w:eastAsia="宋体" w:hAnsi="宋体" w:cs="宋体" w:hint="eastAsia"/>
                            <w:color w:val="000000"/>
                            <w:kern w:val="0"/>
                            <w:sz w:val="15"/>
                            <w:szCs w:val="15"/>
                          </w:rPr>
                        </w:pPr>
                        <w:r w:rsidRPr="00E23AFB">
                          <w:rPr>
                            <w:rFonts w:ascii="仿宋_GB2312" w:eastAsia="仿宋_GB2312" w:hAnsi="宋体" w:cs="宋体" w:hint="eastAsia"/>
                            <w:color w:val="000000"/>
                            <w:kern w:val="0"/>
                            <w:sz w:val="24"/>
                            <w:szCs w:val="24"/>
                          </w:rPr>
                          <w:t>——建设12349居家养老服务信息平台。</w:t>
                        </w:r>
                      </w:p>
                      <w:p w:rsidR="00E23AFB" w:rsidRPr="00E23AFB" w:rsidRDefault="00E23AFB" w:rsidP="00E23AFB">
                        <w:pPr>
                          <w:widowControl/>
                          <w:spacing w:line="560" w:lineRule="atLeast"/>
                          <w:ind w:firstLine="502"/>
                          <w:jc w:val="left"/>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4"/>
                            <w:szCs w:val="24"/>
                          </w:rPr>
                          <w:t>——推动老旧社区等开展适老化改造。</w:t>
                        </w:r>
                      </w:p>
                    </w:tc>
                  </w:tr>
                </w:tbl>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bookmarkStart w:id="6" w:name="_Toc438536512"/>
                  <w:r w:rsidRPr="00E23AFB">
                    <w:rPr>
                      <w:rFonts w:ascii="黑体" w:eastAsia="黑体" w:hAnsi="宋体" w:cs="宋体" w:hint="eastAsia"/>
                      <w:color w:val="000000"/>
                      <w:kern w:val="0"/>
                      <w:sz w:val="30"/>
                    </w:rPr>
                    <w:t>第四章</w:t>
                  </w:r>
                  <w:r w:rsidRPr="00E23AFB">
                    <w:rPr>
                      <w:rFonts w:ascii="黑体" w:eastAsia="黑体" w:hAnsi="宋体" w:cs="宋体" w:hint="eastAsia"/>
                      <w:color w:val="000000"/>
                      <w:kern w:val="0"/>
                      <w:sz w:val="30"/>
                    </w:rPr>
                    <w:t> </w:t>
                  </w:r>
                  <w:r w:rsidRPr="00E23AFB">
                    <w:rPr>
                      <w:rFonts w:ascii="黑体" w:eastAsia="黑体" w:hAnsi="宋体" w:cs="宋体" w:hint="eastAsia"/>
                      <w:color w:val="000000"/>
                      <w:kern w:val="0"/>
                      <w:sz w:val="30"/>
                    </w:rPr>
                    <w:t>促进社会治理现代化</w:t>
                  </w:r>
                  <w:bookmarkEnd w:id="6"/>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第一节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增强基层群众自治和社区服务功能</w:t>
                  </w:r>
                </w:p>
                <w:p w:rsidR="00E23AFB" w:rsidRPr="00E23AFB" w:rsidRDefault="00E23AFB" w:rsidP="00E23AFB">
                  <w:pPr>
                    <w:widowControl/>
                    <w:spacing w:line="560" w:lineRule="atLeast"/>
                    <w:ind w:firstLine="622"/>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rPr>
                    <w:t>以满足社区居民群众多元化需求为着眼点，健全以社区党组织为核心、社区自治组织为主导、社区居民为主体、社区社会组织和驻社区单位共同参与的社区治理体制机制，实现政府行政管理与基层群众自治的有效衔接和良性互动。</w:t>
                  </w:r>
                </w:p>
                <w:p w:rsidR="00E23AFB" w:rsidRPr="00E23AFB" w:rsidRDefault="00E23AFB" w:rsidP="00E23AFB">
                  <w:pPr>
                    <w:widowControl/>
                    <w:spacing w:line="560" w:lineRule="atLeast"/>
                    <w:ind w:firstLine="498"/>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rPr>
                    <w:t>（一）</w:t>
                  </w:r>
                  <w:r w:rsidRPr="00E23AFB">
                    <w:rPr>
                      <w:rFonts w:ascii="楷体_GB2312" w:eastAsia="楷体_GB2312" w:hAnsi="宋体" w:cs="宋体" w:hint="eastAsia"/>
                      <w:color w:val="000000"/>
                      <w:kern w:val="0"/>
                      <w:sz w:val="30"/>
                    </w:rPr>
                    <w:t>加强基层民主建设。</w:t>
                  </w:r>
                  <w:r w:rsidRPr="00E23AFB">
                    <w:rPr>
                      <w:rFonts w:ascii="仿宋_GB2312" w:eastAsia="仿宋_GB2312" w:hAnsi="宋体" w:cs="宋体" w:hint="eastAsia"/>
                      <w:color w:val="000000"/>
                      <w:kern w:val="0"/>
                      <w:sz w:val="30"/>
                    </w:rPr>
                    <w:t>健全社区居委会组织体系，在有需要、有条件的地方开展以村民小组或自然村为基本单元的村民自治试点，做好村（居）委会换届选举工作。坚持村（居）民会议、村（居）民代表会议、村（居）民小组会议制度，落实村（居）务公开、民主管理、民主监督制度，推进行政村和城市社区全面落实科学民主决策、便民服务、矛盾纠纷调解化解、党风政风监督检查四项基础制度，推进城乡社区协商，形成协商主体广泛、内容丰富、形式多样、程序科学、制度健全、成效显著的城乡社区协商新局面。</w:t>
                  </w:r>
                </w:p>
                <w:p w:rsidR="00E23AFB" w:rsidRPr="00E23AFB" w:rsidRDefault="00E23AFB" w:rsidP="00E23AFB">
                  <w:pPr>
                    <w:widowControl/>
                    <w:spacing w:line="560" w:lineRule="atLeast"/>
                    <w:ind w:firstLine="498"/>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rPr>
                    <w:t>（二）</w:t>
                  </w:r>
                  <w:r w:rsidRPr="00E23AFB">
                    <w:rPr>
                      <w:rFonts w:ascii="楷体_GB2312" w:eastAsia="楷体_GB2312" w:hAnsi="宋体" w:cs="宋体" w:hint="eastAsia"/>
                      <w:color w:val="000000"/>
                      <w:kern w:val="0"/>
                      <w:sz w:val="30"/>
                    </w:rPr>
                    <w:t>创新城乡社区治理。</w:t>
                  </w:r>
                  <w:r w:rsidRPr="00E23AFB">
                    <w:rPr>
                      <w:rFonts w:ascii="仿宋_GB2312" w:eastAsia="仿宋_GB2312" w:hAnsi="宋体" w:cs="宋体" w:hint="eastAsia"/>
                      <w:color w:val="000000"/>
                      <w:kern w:val="0"/>
                      <w:sz w:val="30"/>
                    </w:rPr>
                    <w:t>大力推进城市社区建设，全面提升城市社区治理和服务水平。深入推进农村社区建设试点，建立健全农村社区治理和服务体制机制。依法厘清基层政府和社区组织权责边界，探索改革社区管理体制，分类推进社区赋能、减负、增效，促进政府治理和社会自我调节、居民自治良性互动。完善社区治理结构，推动形成社区党组织领导、自治组织主导、社区各类主体多元参与、共同治理的格局。培育发展社区社会组织，壮大社区专业社工机构和社区社工队伍，激发社会组织和专业社工参与社区治理和服务活力，建立社区、社会组织、社会工作专业人才“三社联动”机制，促进资源共享、优势互补、联动发展。指导我省“全国社区治理和服务创新实验区”扎实做好探索创新工作。推进村规民约、居民公约建设，提高村(居)民对规范完善村规民约、居民公约的参与感和认同感，增强村规民约、居民公约的实用性、权威性和约束力。</w:t>
                  </w:r>
                </w:p>
                <w:p w:rsidR="00E23AFB" w:rsidRPr="00E23AFB" w:rsidRDefault="00E23AFB" w:rsidP="00E23AFB">
                  <w:pPr>
                    <w:widowControl/>
                    <w:spacing w:line="560" w:lineRule="atLeast"/>
                    <w:ind w:firstLine="498"/>
                    <w:rPr>
                      <w:rFonts w:ascii="宋体" w:eastAsia="宋体" w:hAnsi="宋体" w:cs="宋体" w:hint="eastAsia"/>
                      <w:color w:val="000000"/>
                      <w:kern w:val="0"/>
                      <w:sz w:val="20"/>
                      <w:szCs w:val="20"/>
                    </w:rPr>
                  </w:pPr>
                  <w:r w:rsidRPr="00E23AFB">
                    <w:rPr>
                      <w:rFonts w:ascii="楷体_GB2312" w:eastAsia="楷体_GB2312" w:hAnsi="宋体" w:cs="宋体" w:hint="eastAsia"/>
                      <w:color w:val="000000"/>
                      <w:kern w:val="0"/>
                      <w:sz w:val="30"/>
                    </w:rPr>
                    <w:t>（三）完善城乡社区服务体系。</w:t>
                  </w:r>
                  <w:r w:rsidRPr="00E23AFB">
                    <w:rPr>
                      <w:rFonts w:ascii="仿宋_GB2312" w:eastAsia="仿宋_GB2312" w:hAnsi="宋体" w:cs="宋体" w:hint="eastAsia"/>
                      <w:color w:val="000000"/>
                      <w:kern w:val="0"/>
                      <w:sz w:val="30"/>
                    </w:rPr>
                    <w:t>积极构建行政机制、市场机制和志愿机制有效衔接的社区服务体系，完善以社区综合服务设</w:t>
                  </w:r>
                  <w:r w:rsidRPr="00E23AFB">
                    <w:rPr>
                      <w:rFonts w:ascii="仿宋_GB2312" w:eastAsia="仿宋_GB2312" w:hAnsi="宋体" w:cs="宋体" w:hint="eastAsia"/>
                      <w:color w:val="000000"/>
                      <w:spacing w:val="4"/>
                      <w:kern w:val="0"/>
                      <w:sz w:val="30"/>
                    </w:rPr>
                    <w:t>施为主体、专项服务设施为配套、服务网点为依托、信息系统为</w:t>
                  </w:r>
                  <w:r w:rsidRPr="00E23AFB">
                    <w:rPr>
                      <w:rFonts w:ascii="仿宋_GB2312" w:eastAsia="仿宋_GB2312" w:hAnsi="宋体" w:cs="宋体" w:hint="eastAsia"/>
                      <w:color w:val="000000"/>
                      <w:kern w:val="0"/>
                      <w:sz w:val="30"/>
                    </w:rPr>
                    <w:t>支撑的社区服务设施网络。大力推进城乡综合服务设施建设，实现城市社区综合服务设施全覆盖，力争农村社区综合服务设施覆盖率达到50%。深化拓展社区网格化管理、社会化服务，建立以社区网格、社区服务设施网络、社区信息系统为支撑的城市社区公共服务综合信息平台，力争城市和农村社区公共服务综合信息平台覆盖率分别达到60%、30%。推行政府购买社区服务制度，探索建立公益创投机制，建立政府投入与社会投入有机结合的经费保障机制。完善社区人才队伍建设，建立健全社区工作人员保障激励机制。发展社区志愿服务组织，加强社区志愿服务站建设，建立健全社区志愿服务制度。推进社区社会工作服务，实施“一社区一社工”计划，提高社区工作人员职业化、专业化水平。</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第二节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加强社会组织培育发展</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加强社会组织登记管理工作，加快形成政社分开、权责明确、依法自治的现代社会组织体系，建立健全统一登记、各司其职、协调配合、分级负责、依法监管的社会组织管理体制，充分发挥社会组织在国家治理体系和治理能力现代化中的积极作用。到2020年，达到每万人3.5个社会组织。全面完成行业协会商会与行政机关脱钩工作，创新行业协会商会管理体制和运行机制，激发内在活力和发展动力。加强社会组织执法队伍建设，完善社会组织综合执法体系。加强社会组织信息公开制度，拓宽社会监督渠道。推进政府购买服务、各级财政资金支持社会组织参与社会公共服务和社会组织承接政府转移职能，带动社会资金投入社会公共服务。结合登记、年检、评估、培训等环节，协同做好社会组织党建工作，推进社会组织党的组织和党的工作有效覆盖。建立社会组织第三方评估机制，全面开展社会组织评估工作。建立实施“两随机、一公开”工作机制，对社会组织开展检查审计，加强监督管理，规范社会组织行为，促进社会组织健康发展。</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黑体" w:eastAsia="黑体" w:hAnsi="宋体" w:cs="宋体" w:hint="eastAsia"/>
                      <w:color w:val="000000"/>
                      <w:kern w:val="0"/>
                      <w:sz w:val="28"/>
                      <w:szCs w:val="28"/>
                    </w:rPr>
                    <w:t>专栏6</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2"/>
                    </w:rPr>
                    <w:t>社会组织体系建设工程</w:t>
                  </w:r>
                </w:p>
                <w:tbl>
                  <w:tblPr>
                    <w:tblW w:w="0" w:type="auto"/>
                    <w:jc w:val="center"/>
                    <w:tblCellMar>
                      <w:left w:w="0" w:type="dxa"/>
                      <w:right w:w="0" w:type="dxa"/>
                    </w:tblCellMar>
                    <w:tblLook w:val="04A0"/>
                  </w:tblPr>
                  <w:tblGrid>
                    <w:gridCol w:w="8879"/>
                  </w:tblGrid>
                  <w:tr w:rsidR="00E23AFB" w:rsidRPr="00E23AFB">
                    <w:trPr>
                      <w:trHeight w:val="4169"/>
                      <w:jc w:val="center"/>
                    </w:trPr>
                    <w:tc>
                      <w:tcPr>
                        <w:tcW w:w="8879" w:type="dxa"/>
                        <w:tcBorders>
                          <w:top w:val="single" w:sz="8"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E23AFB" w:rsidRPr="00E23AFB" w:rsidRDefault="00E23AFB" w:rsidP="00E23AFB">
                        <w:pPr>
                          <w:widowControl/>
                          <w:spacing w:line="560" w:lineRule="atLeast"/>
                          <w:ind w:firstLine="504"/>
                          <w:jc w:val="left"/>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福彩公益金支持社会组织开展社会服务项目：</w:t>
                        </w:r>
                        <w:r w:rsidRPr="00E23AFB">
                          <w:rPr>
                            <w:rFonts w:ascii="仿宋_GB2312" w:eastAsia="仿宋_GB2312" w:hAnsi="宋体" w:cs="宋体" w:hint="eastAsia"/>
                            <w:color w:val="000000"/>
                            <w:kern w:val="0"/>
                            <w:sz w:val="24"/>
                            <w:szCs w:val="24"/>
                          </w:rPr>
                          <w:t>通过省级福彩公益金支持社会组织开展社会服务工程建设，带动全省各级财政资金投入，积极支持社会组织开展社会服务项目，争取更多的社会资金和社会力量进入，扩大社会服务领域和项目规模，提升我省社会组织服务社会能力，促进我省社会组织真正成为提供服务、反映诉求、规范行为、促进和谐的主要力量。</w:t>
                        </w:r>
                      </w:p>
                      <w:p w:rsidR="00E23AFB" w:rsidRPr="00E23AFB" w:rsidRDefault="00E23AFB" w:rsidP="00E23AFB">
                        <w:pPr>
                          <w:widowControl/>
                          <w:spacing w:line="560" w:lineRule="atLeast"/>
                          <w:ind w:firstLine="504"/>
                          <w:jc w:val="left"/>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社会组织评估项目：</w:t>
                        </w:r>
                        <w:r w:rsidRPr="00E23AFB">
                          <w:rPr>
                            <w:rFonts w:ascii="仿宋_GB2312" w:eastAsia="仿宋_GB2312" w:hAnsi="宋体" w:cs="宋体" w:hint="eastAsia"/>
                            <w:color w:val="000000"/>
                            <w:kern w:val="0"/>
                            <w:sz w:val="24"/>
                            <w:szCs w:val="24"/>
                          </w:rPr>
                          <w:t>通过开展社会组织综合评估，加强对社会组织的管理和监督，为建立社会组织承接政府购买服务和职能转移名录提供依据，促进社会组织规范内部管理，加强自身建设，增强服务功能，提高社会组织公信力，推动我省社会组织健康发展。</w:t>
                        </w:r>
                      </w:p>
                    </w:tc>
                  </w:tr>
                </w:tbl>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bookmarkStart w:id="7" w:name="_Toc438536507"/>
                  <w:r w:rsidRPr="00E23AFB">
                    <w:rPr>
                      <w:rFonts w:ascii="黑体" w:eastAsia="黑体" w:hAnsi="宋体" w:cs="宋体" w:hint="eastAsia"/>
                      <w:color w:val="000000"/>
                      <w:kern w:val="0"/>
                      <w:sz w:val="30"/>
                      <w:szCs w:val="30"/>
                    </w:rPr>
                    <w:t>第五</w:t>
                  </w:r>
                  <w:bookmarkEnd w:id="7"/>
                  <w:r w:rsidRPr="00E23AFB">
                    <w:rPr>
                      <w:rFonts w:ascii="黑体" w:eastAsia="黑体" w:hAnsi="宋体" w:cs="宋体" w:hint="eastAsia"/>
                      <w:color w:val="000000"/>
                      <w:kern w:val="0"/>
                      <w:sz w:val="30"/>
                      <w:szCs w:val="30"/>
                    </w:rPr>
                    <w:t>章</w:t>
                  </w:r>
                  <w:r w:rsidRPr="00E23AFB">
                    <w:rPr>
                      <w:rFonts w:ascii="黑体" w:eastAsia="黑体" w:hAnsi="宋体" w:cs="宋体" w:hint="eastAsia"/>
                      <w:color w:val="000000"/>
                      <w:kern w:val="0"/>
                      <w:sz w:val="30"/>
                      <w:szCs w:val="30"/>
                    </w:rPr>
                    <w:t> </w:t>
                  </w:r>
                  <w:r w:rsidRPr="00E23AFB">
                    <w:rPr>
                      <w:rFonts w:ascii="黑体" w:eastAsia="黑体" w:hAnsi="宋体" w:cs="宋体" w:hint="eastAsia"/>
                      <w:color w:val="000000"/>
                      <w:kern w:val="0"/>
                      <w:sz w:val="30"/>
                      <w:szCs w:val="30"/>
                    </w:rPr>
                    <w:t>提升双拥优抚安置保障水平</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第一节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双拥</w:t>
                  </w:r>
                </w:p>
                <w:p w:rsidR="00E23AFB" w:rsidRPr="00E23AFB" w:rsidRDefault="00E23AFB" w:rsidP="00E23AFB">
                  <w:pPr>
                    <w:widowControl/>
                    <w:spacing w:line="560" w:lineRule="atLeast"/>
                    <w:ind w:firstLine="610"/>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积极配合军队体制编制调整改革，做好相关承接和服务保障工作。深入研究部队在职能部署调整、单位撤并降改、新旧体制对接、官兵进退去留过程中对双拥工作提出的新任务和新要求，创造我省双拥工作服务保障国防和军队改革的新做法、新经验，增强服务国防和军队改革的预见性、系统性、针对性和实效性。协调做好退役军人和随军家属安置工作，助推部队战斗力提升。依托城乡社区健全基层双拥工作组织和服务网络，开展社区拥军、</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双拥在基层”等活动，扩大双拥工作的社会基础。发挥双拥模范城（县）创建活动的平台载体作用，加强督导考评和跟踪问效，推进军民融合深度发展。健全组织领导体制机制，完善军地协调和双拥工作运行机制。</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第二节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优待抚恤</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仿宋" w:eastAsia="仿宋" w:hAnsi="宋体" w:cs="宋体" w:hint="eastAsia"/>
                      <w:b/>
                      <w:bCs/>
                      <w:color w:val="000000"/>
                      <w:kern w:val="0"/>
                      <w:sz w:val="32"/>
                    </w:rPr>
                    <w:t>    </w:t>
                  </w:r>
                  <w:r w:rsidRPr="00E23AFB">
                    <w:rPr>
                      <w:rFonts w:ascii="仿宋_GB2312" w:eastAsia="仿宋_GB2312" w:hAnsi="宋体" w:cs="宋体" w:hint="eastAsia"/>
                      <w:color w:val="000000"/>
                      <w:kern w:val="0"/>
                      <w:sz w:val="30"/>
                      <w:szCs w:val="30"/>
                    </w:rPr>
                    <w:t>积极适应军队改革需要，创新完善和全面落实优抚各项政策制度，健全优抚保障机制，规范待遇标准，构建优抚对象抚恤补助标准调整机制，逐步消除城乡差别，实现优抚制度由城乡有别向城乡一体转变，由解困救助向普惠加优待转变，进一步提高服务国防和军队建设能力。加强优抚保障制度与社会保障制度的有机衔接，将优抚对象优先纳入社区服务、养老服务等社会福利服务体系，探索结对包户帮扶。建立健全军地退役军人信息和数据共享机制，实现优抚对象动态精确化管理。建立健全县、乡、村三级优抚对象服务网络，积极解决优抚政策落实中的重点难点问题，全面建立优抚对象走访慰问制度，持续开展“送政策，送温暖，送帮扶”活动。加大资金投入，提高优抚医院、光荣院服务保障能力。做好烈士褒扬工作，加强烈士纪念设施建设管理，大力弘扬烈士精神。</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第三节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退役安置</w:t>
                  </w:r>
                </w:p>
                <w:p w:rsidR="00E23AFB" w:rsidRPr="00E23AFB" w:rsidRDefault="00E23AFB" w:rsidP="00E23AFB">
                  <w:pPr>
                    <w:widowControl/>
                    <w:spacing w:line="560" w:lineRule="atLeast"/>
                    <w:ind w:firstLine="610"/>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根据国家相关法律法规调整，及时修订我省退役士兵安置法规政策体系，加快建立完善包括惩罚措施在内的安置法规政策和安置计划编制下达机制。发挥机关事业单位、国有企业接收安置主渠道作用，贯彻落实按比例接收退役士兵的政策规定，实行精准安置，落实工作岗位，确保安置质量。全面推行“阳光”安置，完善退役士兵安置考核办法，将退役士兵在服役期间的表现作为政府安置排序选岗的重要依据，确保服役时间长、贡献大的退役士兵得到妥善安置。以改善退役士兵知识结构、提高技能素质、增强市场竞争力为目的，以市场和退役士兵实际需求为内容，扎实开展退役士兵职业教育和技能培训，大力开展“订单式、定向式、定岗式”培训，完善校企合作培养机制，对教育培训机构实行年检制度。拓展退役士兵和用人单位之间的沟通渠道，加强退役士兵信息库和用工需求信息库建设，通过就业咨询、就业指导、提供信息、跟踪服务等方式开展就业专项服务。建立伤病残士兵移交安置长效机制，确保伤病残士兵得到及时移交、妥善安置。创新军供保障模式，不断提升军供保障水平。</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spacing w:val="-4"/>
                      <w:kern w:val="0"/>
                      <w:sz w:val="30"/>
                    </w:rPr>
                    <w:t>第四节</w:t>
                  </w:r>
                  <w:r w:rsidRPr="00E23AFB">
                    <w:rPr>
                      <w:rFonts w:ascii="仿宋_GB2312" w:eastAsia="仿宋_GB2312" w:hAnsi="宋体" w:cs="宋体" w:hint="eastAsia"/>
                      <w:b/>
                      <w:bCs/>
                      <w:color w:val="000000"/>
                      <w:spacing w:val="-4"/>
                      <w:kern w:val="0"/>
                      <w:sz w:val="30"/>
                    </w:rPr>
                    <w:t> </w:t>
                  </w:r>
                  <w:r w:rsidRPr="00E23AFB">
                    <w:rPr>
                      <w:rFonts w:ascii="仿宋_GB2312" w:eastAsia="仿宋_GB2312" w:hAnsi="宋体" w:cs="宋体" w:hint="eastAsia"/>
                      <w:b/>
                      <w:bCs/>
                      <w:color w:val="000000"/>
                      <w:spacing w:val="-4"/>
                      <w:kern w:val="0"/>
                      <w:sz w:val="30"/>
                    </w:rPr>
                    <w:t>军休安置</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spacing w:val="-4"/>
                      <w:kern w:val="0"/>
                      <w:sz w:val="30"/>
                      <w:szCs w:val="30"/>
                    </w:rPr>
                    <w:t>   </w:t>
                  </w:r>
                  <w:r w:rsidRPr="00E23AFB">
                    <w:rPr>
                      <w:rFonts w:ascii="仿宋_GB2312" w:eastAsia="仿宋_GB2312" w:hAnsi="宋体" w:cs="宋体" w:hint="eastAsia"/>
                      <w:color w:val="000000"/>
                      <w:spacing w:val="-4"/>
                      <w:kern w:val="0"/>
                      <w:sz w:val="30"/>
                    </w:rPr>
                    <w:t> </w:t>
                  </w:r>
                  <w:r w:rsidRPr="00E23AFB">
                    <w:rPr>
                      <w:rFonts w:ascii="仿宋_GB2312" w:eastAsia="仿宋_GB2312" w:hAnsi="宋体" w:cs="宋体" w:hint="eastAsia"/>
                      <w:color w:val="000000"/>
                      <w:spacing w:val="-4"/>
                      <w:kern w:val="0"/>
                      <w:sz w:val="30"/>
                      <w:szCs w:val="30"/>
                    </w:rPr>
                    <w:t>改进工作方法、简化办事流程，努力做到“即退即审、即交即接”，推动实现军休干部和无军籍退休退职职工移交安置良性循环。推进军休服务管理机构规范化建设，继续提升军休人员服务管理水平，进一步拓展服务内容、创新服务方式、增强服务效能，努力让军休人员晚年生活更有质量、更加幸福。重视发挥军休人员积极作用，进一步做好“老有所为”服务工作。认真落实军休人员政治待遇、生活待遇和医疗待遇，切实维护军休人员的合法权益。</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黑体" w:eastAsia="黑体" w:hAnsi="宋体" w:cs="宋体" w:hint="eastAsia"/>
                      <w:color w:val="000000"/>
                      <w:kern w:val="0"/>
                      <w:sz w:val="30"/>
                    </w:rPr>
                    <w:t>第六章</w:t>
                  </w:r>
                  <w:r w:rsidRPr="00E23AFB">
                    <w:rPr>
                      <w:rFonts w:ascii="黑体" w:eastAsia="黑体" w:hAnsi="宋体" w:cs="宋体" w:hint="eastAsia"/>
                      <w:color w:val="000000"/>
                      <w:kern w:val="0"/>
                      <w:sz w:val="30"/>
                    </w:rPr>
                    <w:t> </w:t>
                  </w:r>
                  <w:r w:rsidRPr="00E23AFB">
                    <w:rPr>
                      <w:rFonts w:ascii="黑体" w:eastAsia="黑体" w:hAnsi="宋体" w:cs="宋体" w:hint="eastAsia"/>
                      <w:color w:val="000000"/>
                      <w:kern w:val="0"/>
                      <w:sz w:val="30"/>
                    </w:rPr>
                    <w:t>强化专项社会服务</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第一节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优化行政区划设置和界线管理</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bookmarkStart w:id="8" w:name="_Toc438536519"/>
                  <w:r w:rsidRPr="00E23AFB">
                    <w:rPr>
                      <w:rFonts w:ascii="宋体" w:eastAsia="宋体" w:hAnsi="宋体" w:cs="宋体" w:hint="eastAsia"/>
                      <w:b/>
                      <w:bCs/>
                      <w:color w:val="000000"/>
                      <w:kern w:val="0"/>
                      <w:sz w:val="36"/>
                    </w:rPr>
                    <w:t>    </w:t>
                  </w:r>
                  <w:bookmarkEnd w:id="8"/>
                  <w:r w:rsidRPr="00E23AFB">
                    <w:rPr>
                      <w:rFonts w:ascii="仿宋_GB2312" w:eastAsia="仿宋_GB2312" w:hAnsi="宋体" w:cs="宋体" w:hint="eastAsia"/>
                      <w:color w:val="000000"/>
                      <w:kern w:val="0"/>
                      <w:sz w:val="30"/>
                    </w:rPr>
                    <w:t>适应全省经济社会发展总体布局和新型城镇化发展需要，积极推进行政区划调整，加快推进符合条件的县改区、县改市工作进程，稳步推进乡镇区划调整，拓展城市发展空间，支持符合条件的农村社区纳入城镇体系管理。持续实施平安边界创建工作，及时做好行政区域界线勘定和管理。</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第二节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提升地名公共服务水平</w:t>
                  </w:r>
                </w:p>
                <w:p w:rsidR="00E23AFB" w:rsidRPr="00E23AFB" w:rsidRDefault="00E23AFB" w:rsidP="00E23AFB">
                  <w:pPr>
                    <w:widowControl/>
                    <w:spacing w:line="560" w:lineRule="atLeast"/>
                    <w:ind w:firstLine="622"/>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rPr>
                    <w:t>健全地名法规政策，完善地名管理与服务标准规范，加快形成以地名标准化为基础、地名信息化为手段、地名文化为支撑、城乡系列地名标志为载体的地名公共服务体系。完成第二次全国地名普查，丰富地名信息资源，建立各级地名数据库，实施地名数据动态维护更新机制，加快地名普查成果转化利用。</w:t>
                  </w:r>
                  <w:r w:rsidRPr="00E23AFB">
                    <w:rPr>
                      <w:rFonts w:ascii="仿宋_GB2312" w:eastAsia="仿宋_GB2312" w:hAnsi="宋体" w:cs="宋体" w:hint="eastAsia"/>
                      <w:color w:val="000000"/>
                      <w:spacing w:val="-6"/>
                      <w:kern w:val="0"/>
                      <w:sz w:val="30"/>
                    </w:rPr>
                    <w:t>加强地名理论研究和地名文化建设，建立地名文化遗产信息档案，推进地名文化产品开发，落实分类、分级、分层保护地名文化遗产举措。</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第三节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规范婚姻登记服务</w:t>
                  </w:r>
                </w:p>
                <w:p w:rsidR="00E23AFB" w:rsidRPr="00E23AFB" w:rsidRDefault="00E23AFB" w:rsidP="00E23AFB">
                  <w:pPr>
                    <w:widowControl/>
                    <w:spacing w:line="560" w:lineRule="atLeast"/>
                    <w:ind w:firstLine="622"/>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rPr>
                    <w:t>加强婚姻登记机关标准化建设，探索建立婚姻登记机关等级评定工作和以奖代补激励机制。继续完善婚姻信息数据库建设，建立部门信息共享机制。加强和谐婚姻家庭建设，积极开展结婚登记颁证服务和婚姻家庭辅导工作，推动婚姻登记工作向家庭服务领域延伸。</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第四节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深化殡葬改革</w:t>
                  </w:r>
                </w:p>
                <w:p w:rsidR="00E23AFB" w:rsidRPr="00E23AFB" w:rsidRDefault="00E23AFB" w:rsidP="00E23AFB">
                  <w:pPr>
                    <w:widowControl/>
                    <w:spacing w:line="560" w:lineRule="atLeast"/>
                    <w:ind w:firstLine="622"/>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rPr>
                    <w:t>健全党委领导、政府负责、部门协同、公众参与、法制保障的现代殡葬管理体系和布局合理、设施完善、功能齐全、服务便捷的殡葬公共服务体系。加快推进无殡仪馆的县（市）新建殡仪馆工程，落实殡葬惠民政策，推动基本殡葬服务免费政策全覆盖，实现基本殡葬公共服务均等化。加大对基本殡葬服务的政府投入，发挥市场在选择性殡葬服务中的调节作用，加强经营性公墓管理，严格经营性公墓审批。发展绿色殡葬，实行生态殡葬行动计划，建立生态殡葬政府奖补制度，建设公益性骨灰安放（葬）设施，提供生态安葬服务，力争到2020年公益性骨灰安放设施（含公益性公墓）县级行政区域覆盖率达到70%、节地生态安葬比例达到50%以上。</w:t>
                  </w:r>
                  <w:bookmarkStart w:id="9" w:name="_Toc438536522"/>
                  <w:r w:rsidRPr="00E23AFB">
                    <w:rPr>
                      <w:rFonts w:ascii="宋体" w:eastAsia="宋体" w:hAnsi="宋体" w:cs="宋体" w:hint="eastAsia"/>
                      <w:color w:val="0000FF"/>
                      <w:kern w:val="0"/>
                      <w:sz w:val="20"/>
                    </w:rPr>
                    <w:t>尊重少数民族土葬习俗，科学规划少数民族公墓建设。</w:t>
                  </w:r>
                  <w:bookmarkEnd w:id="9"/>
                </w:p>
                <w:p w:rsidR="00E23AFB" w:rsidRPr="00E23AFB" w:rsidRDefault="00E23AFB" w:rsidP="00E23AFB">
                  <w:pPr>
                    <w:widowControl/>
                    <w:spacing w:line="560" w:lineRule="atLeast"/>
                    <w:rPr>
                      <w:rFonts w:ascii="宋体" w:eastAsia="宋体" w:hAnsi="宋体" w:cs="宋体" w:hint="eastAsia"/>
                      <w:color w:val="000000"/>
                      <w:kern w:val="0"/>
                      <w:sz w:val="20"/>
                      <w:szCs w:val="20"/>
                    </w:rPr>
                  </w:pPr>
                  <w:r w:rsidRPr="00E23AFB">
                    <w:rPr>
                      <w:rFonts w:ascii="黑体" w:eastAsia="黑体" w:hAnsi="宋体" w:cs="宋体" w:hint="eastAsia"/>
                      <w:color w:val="000000"/>
                      <w:kern w:val="0"/>
                      <w:sz w:val="28"/>
                    </w:rPr>
                    <w:t>专栏7</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2"/>
                    </w:rPr>
                    <w:t>殡葬服务设施建设工程</w:t>
                  </w:r>
                </w:p>
                <w:tbl>
                  <w:tblPr>
                    <w:tblW w:w="4900" w:type="pct"/>
                    <w:jc w:val="center"/>
                    <w:tblCellMar>
                      <w:left w:w="0" w:type="dxa"/>
                      <w:right w:w="0" w:type="dxa"/>
                    </w:tblCellMar>
                    <w:tblLook w:val="04A0"/>
                  </w:tblPr>
                  <w:tblGrid>
                    <w:gridCol w:w="10743"/>
                  </w:tblGrid>
                  <w:tr w:rsidR="00E23AFB" w:rsidRPr="00E23AFB">
                    <w:trPr>
                      <w:trHeight w:val="2341"/>
                      <w:jc w:val="center"/>
                    </w:trPr>
                    <w:tc>
                      <w:tcPr>
                        <w:tcW w:w="8955" w:type="dxa"/>
                        <w:tcBorders>
                          <w:top w:val="single" w:sz="8"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E23AFB" w:rsidRPr="00E23AFB" w:rsidRDefault="00E23AFB" w:rsidP="00E23AFB">
                        <w:pPr>
                          <w:widowControl/>
                          <w:spacing w:line="560" w:lineRule="atLeast"/>
                          <w:ind w:firstLine="504"/>
                          <w:jc w:val="left"/>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公益性骨灰安放（葬）设施建设项目：重点加大对公益性骨灰安放（葬）</w:t>
                        </w:r>
                        <w:r w:rsidRPr="00E23AFB">
                          <w:rPr>
                            <w:rFonts w:ascii="仿宋_GB2312" w:eastAsia="仿宋_GB2312" w:hAnsi="宋体" w:cs="宋体" w:hint="eastAsia"/>
                            <w:b/>
                            <w:bCs/>
                            <w:color w:val="000000"/>
                            <w:spacing w:val="-4"/>
                            <w:kern w:val="0"/>
                            <w:sz w:val="24"/>
                            <w:szCs w:val="24"/>
                          </w:rPr>
                          <w:t>设施的投入，全面提升基本殡葬公共服务保障水平，实现基本殡葬公共服务均等化。</w:t>
                        </w:r>
                      </w:p>
                      <w:p w:rsidR="00E23AFB" w:rsidRPr="00E23AFB" w:rsidRDefault="00E23AFB" w:rsidP="00E23AFB">
                        <w:pPr>
                          <w:widowControl/>
                          <w:spacing w:line="560" w:lineRule="atLeast"/>
                          <w:ind w:firstLine="488"/>
                          <w:jc w:val="left"/>
                          <w:rPr>
                            <w:rFonts w:ascii="宋体" w:eastAsia="宋体" w:hAnsi="宋体" w:cs="宋体" w:hint="eastAsia"/>
                            <w:color w:val="000000"/>
                            <w:kern w:val="0"/>
                            <w:sz w:val="15"/>
                            <w:szCs w:val="15"/>
                          </w:rPr>
                        </w:pPr>
                        <w:r w:rsidRPr="00E23AFB">
                          <w:rPr>
                            <w:rFonts w:ascii="仿宋_GB2312" w:eastAsia="仿宋_GB2312" w:hAnsi="宋体" w:cs="宋体" w:hint="eastAsia"/>
                            <w:b/>
                            <w:bCs/>
                            <w:color w:val="000000"/>
                            <w:spacing w:val="-4"/>
                            <w:kern w:val="0"/>
                            <w:sz w:val="24"/>
                            <w:szCs w:val="24"/>
                          </w:rPr>
                          <w:t>县级殡葬基础设施设备升级改造项目：对全省县级殡仪馆基础设施进行升级改造，对不符合环保要求的火化炉全部更新一遍，到2020年全部达到国家环保标准。</w:t>
                        </w:r>
                      </w:p>
                      <w:p w:rsidR="00E23AFB" w:rsidRPr="00E23AFB" w:rsidRDefault="00E23AFB" w:rsidP="00E23AFB">
                        <w:pPr>
                          <w:widowControl/>
                          <w:spacing w:line="560" w:lineRule="atLeast"/>
                          <w:ind w:firstLine="504"/>
                          <w:jc w:val="left"/>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殡仪馆建设项目：到2020年，实现火葬区的县（市）殡仪馆全覆盖。原则上每个县（市）要建1个殡仪馆，城市人口100万以上的城市要增建1个殡仪馆。</w:t>
                        </w:r>
                      </w:p>
                    </w:tc>
                  </w:tr>
                </w:tbl>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bookmarkStart w:id="10" w:name="_Toc438536523"/>
                  <w:r w:rsidRPr="00E23AFB">
                    <w:rPr>
                      <w:rFonts w:ascii="黑体" w:eastAsia="黑体" w:hAnsi="宋体" w:cs="宋体" w:hint="eastAsia"/>
                      <w:color w:val="000000"/>
                      <w:kern w:val="0"/>
                      <w:sz w:val="30"/>
                    </w:rPr>
                    <w:t>第七章</w:t>
                  </w:r>
                  <w:r w:rsidRPr="00E23AFB">
                    <w:rPr>
                      <w:rFonts w:ascii="黑体" w:eastAsia="黑体" w:hAnsi="宋体" w:cs="宋体" w:hint="eastAsia"/>
                      <w:color w:val="000000"/>
                      <w:kern w:val="0"/>
                      <w:sz w:val="30"/>
                    </w:rPr>
                    <w:t> </w:t>
                  </w:r>
                  <w:r w:rsidRPr="00E23AFB">
                    <w:rPr>
                      <w:rFonts w:ascii="黑体" w:eastAsia="黑体" w:hAnsi="宋体" w:cs="宋体" w:hint="eastAsia"/>
                      <w:color w:val="000000"/>
                      <w:kern w:val="0"/>
                      <w:sz w:val="30"/>
                    </w:rPr>
                    <w:t>保障措施</w:t>
                  </w:r>
                  <w:bookmarkEnd w:id="10"/>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bookmarkStart w:id="11" w:name="_Toc438536525"/>
                  <w:r w:rsidRPr="00E23AFB">
                    <w:rPr>
                      <w:rFonts w:ascii="仿宋_GB2312" w:eastAsia="仿宋_GB2312" w:hAnsi="宋体" w:cs="宋体" w:hint="eastAsia"/>
                      <w:b/>
                      <w:bCs/>
                      <w:color w:val="000000"/>
                      <w:kern w:val="0"/>
                      <w:sz w:val="30"/>
                    </w:rPr>
                    <w:t>第一节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推进法治建设</w:t>
                  </w:r>
                  <w:bookmarkEnd w:id="11"/>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认真贯彻中共中央国务院《法治政府建设实施纲要（2015—2020年）》，以推进依法行政为主线，以落实服务型行政执法和行政执法责任制为抓手，强化法治思维和法治能力，</w:t>
                  </w:r>
                  <w:bookmarkStart w:id="12" w:name="_Toc438536526"/>
                  <w:r w:rsidRPr="00E23AFB">
                    <w:rPr>
                      <w:rFonts w:ascii="仿宋_GB2312" w:eastAsia="仿宋_GB2312" w:hAnsi="宋体" w:cs="宋体" w:hint="eastAsia"/>
                      <w:color w:val="000000"/>
                      <w:kern w:val="0"/>
                      <w:sz w:val="30"/>
                      <w:szCs w:val="30"/>
                      <w:shd w:val="clear" w:color="auto" w:fill="FFFFFF"/>
                    </w:rPr>
                    <w:t>坚持依法行政，完善社会公共服务法规政策，推行政务信息公开，提高社会公共服务执法水平，强化社会公共服务法治监督，加强社会公共服务普法工作，构建比较完备的社会公共服务法规制度、法治实施、法治监督和法治保障四个体系，为实现全省社会公共服务科学发展提供有力的法治保障。</w:t>
                  </w:r>
                  <w:bookmarkEnd w:id="12"/>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第二节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创新工作机制</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    </w:t>
                  </w:r>
                  <w:bookmarkStart w:id="13" w:name="_Toc438536527"/>
                  <w:r w:rsidRPr="00E23AFB">
                    <w:rPr>
                      <w:rFonts w:ascii="仿宋_GB2312" w:eastAsia="仿宋_GB2312" w:hAnsi="宋体" w:cs="宋体" w:hint="eastAsia"/>
                      <w:b/>
                      <w:bCs/>
                      <w:color w:val="000000"/>
                      <w:kern w:val="0"/>
                      <w:sz w:val="30"/>
                    </w:rPr>
                    <w:t>充分发挥民政系统各级党组织的领导核心作用，</w:t>
                  </w:r>
                  <w:bookmarkEnd w:id="13"/>
                  <w:r w:rsidRPr="00E23AFB">
                    <w:rPr>
                      <w:rFonts w:ascii="仿宋_GB2312" w:eastAsia="仿宋_GB2312" w:hAnsi="宋体" w:cs="宋体" w:hint="eastAsia"/>
                      <w:b/>
                      <w:bCs/>
                      <w:color w:val="000000"/>
                      <w:kern w:val="0"/>
                      <w:sz w:val="30"/>
                    </w:rPr>
                    <w:t>加强对民政事业发展改革的组织领导，增强改革创新的机遇意识、责任意识和担当意识。加强对全省民政事业发展的总体设计、统筹协调、整体推进和督促落实。建立健全党委领导、政府负责、部门协作、社会参与的工作运行机制，建立完善部门协调机制、激励机制、问责机制、考核评价和廉政制度，切实做到责任到位、措施到位、</w:t>
                  </w:r>
                  <w:r w:rsidRPr="00E23AFB">
                    <w:rPr>
                      <w:rFonts w:ascii="仿宋_GB2312" w:eastAsia="仿宋_GB2312" w:hAnsi="宋体" w:cs="宋体" w:hint="eastAsia"/>
                      <w:b/>
                      <w:bCs/>
                      <w:color w:val="000000"/>
                      <w:spacing w:val="-6"/>
                      <w:kern w:val="0"/>
                      <w:sz w:val="30"/>
                    </w:rPr>
                    <w:t>投入到位、管理到位。推动各级党委、政府把民政工作摆上重要议事日程，列入政府社会发展的考评内容，切实抓好组织实施，</w:t>
                  </w:r>
                  <w:r w:rsidRPr="00E23AFB">
                    <w:rPr>
                      <w:rFonts w:ascii="仿宋_GB2312" w:eastAsia="仿宋_GB2312" w:hAnsi="宋体" w:cs="宋体" w:hint="eastAsia"/>
                      <w:b/>
                      <w:bCs/>
                      <w:color w:val="000000"/>
                      <w:spacing w:val="-4"/>
                      <w:kern w:val="0"/>
                      <w:sz w:val="30"/>
                    </w:rPr>
                    <w:t>根据本规划确定的改革方向和目标任务，有力有序推进民政事业科学发展。</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第三节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加快标准化建设</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认真贯彻落实国家、省关于加强标准化工作的有关政策要求，坚持深化改革与创新驱动相结合、整体推进与重点突破相结合、宏观统筹与协同合作相结合，大力推进民政标准化建设。根据民政事业发展需要，构建和完善民政标准体系框架。开展民政标准化建设试点工作，科学总结实践经验，制定30项民政地方标准，培育形成一批民政地方团体标准、企事业单位标准。开展民政标准化示范创建活动，在全省范围内建设5个国家级民政行业标准化示范机构、20个省级民政行业标准化示范机构，建立1—2家民政标准化培育基地。加强民政标准化宣传工作，推广普及民政标准化知识，提高全省民政系统干部职工标准化意识和认知水平。建立健全民政标准实施监督与评估机制，加大考核和评估力度，推进民政领域国家标准、行业标准和地方标准的贯彻实施。加强民政标准化技术组织建设和民政标准化人才队伍建设，开展民政标准化理论应用与研究，打好民政标准化技术基础。</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第四节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加强人才队伍建设</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shd w:val="clear" w:color="auto" w:fill="FFFFFF"/>
                    </w:rPr>
                    <w:t>强化基层社会服务力量，加强乡镇（街道）民政工作机构规范化建设。构建基层社会公共服务网络，搭建信息化服务和管理平台，以政府购买服务、以奖代补等方式，通过设置公益岗位、聘用社工人才、吸纳志愿服务、村级事务代办等途径，充实基层工作力量，打通服务群众“最后一公里”问题。对民政事务性服务，引入竞争机制，通过合同、委托等方式向社会购买。加强社会工作人才队伍建设，</w:t>
                  </w:r>
                  <w:r w:rsidRPr="00E23AFB">
                    <w:rPr>
                      <w:rFonts w:ascii="仿宋_GB2312" w:eastAsia="仿宋_GB2312" w:hAnsi="宋体" w:cs="宋体" w:hint="eastAsia"/>
                      <w:color w:val="000000"/>
                      <w:kern w:val="0"/>
                      <w:sz w:val="30"/>
                      <w:szCs w:val="30"/>
                    </w:rPr>
                    <w:t>完善社会工作教育培养机制，推动高等院校开展社会工作专科、本科和研究生教育，加强教学实习和实训基地建设，依托有条件的高等院校、科研院所、党校（行政学院）、社会工作服务机构等，建立健全省、市、县三级培训机构网络，力争到2020年我省社会工作专业人才占总人口比例达到0.5‰。建立社会工作人才终身学习培训机制，对取得职业资格证书的社会工作者进行规范化、制度化、常态化的继续教育和培训。加大社会工作岗位开发力度，建立健全社会工作专业岗位开发和人才使用机制。建立省级社会工作专业人才信息库，促进社会工作专业人才资源的有效开发和合理配置，健全社会工作职业考核评价机制、选拔流动机制、职业保障机制和激励措施。</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第五节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加大资金资源投入</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加大各级财政对民政事业发展投入，为民政事业发展提供资金保障</w:t>
                  </w:r>
                  <w:r w:rsidRPr="00E23AFB">
                    <w:rPr>
                      <w:rFonts w:ascii="仿宋_GB2312" w:eastAsia="仿宋_GB2312" w:hAnsi="宋体" w:cs="宋体" w:hint="eastAsia"/>
                      <w:color w:val="000000"/>
                      <w:kern w:val="0"/>
                      <w:sz w:val="30"/>
                      <w:szCs w:val="30"/>
                      <w:shd w:val="clear" w:color="auto" w:fill="FFFFFF"/>
                    </w:rPr>
                    <w:t>。拓宽资金筹措方式和途径，建立健全以公共财政为主导，福利彩票公益金、慈善捐赠资金、社会资本为补充的民政事业经费筹措机制，</w:t>
                  </w:r>
                  <w:r w:rsidRPr="00E23AFB">
                    <w:rPr>
                      <w:rFonts w:ascii="仿宋_GB2312" w:eastAsia="仿宋_GB2312" w:hAnsi="宋体" w:cs="宋体" w:hint="eastAsia"/>
                      <w:color w:val="000000"/>
                      <w:kern w:val="0"/>
                      <w:sz w:val="30"/>
                      <w:szCs w:val="30"/>
                    </w:rPr>
                    <w:t>探索建立民政保障资金各级政府合理分担机制</w:t>
                  </w:r>
                  <w:r w:rsidRPr="00E23AFB">
                    <w:rPr>
                      <w:rFonts w:ascii="仿宋_GB2312" w:eastAsia="仿宋_GB2312" w:hAnsi="宋体" w:cs="宋体" w:hint="eastAsia"/>
                      <w:color w:val="000000"/>
                      <w:kern w:val="0"/>
                      <w:sz w:val="30"/>
                      <w:szCs w:val="30"/>
                      <w:shd w:val="clear" w:color="auto" w:fill="FFFFFF"/>
                    </w:rPr>
                    <w:t>。</w:t>
                  </w:r>
                  <w:r w:rsidRPr="00E23AFB">
                    <w:rPr>
                      <w:rFonts w:ascii="仿宋_GB2312" w:eastAsia="仿宋_GB2312" w:hAnsi="宋体" w:cs="宋体" w:hint="eastAsia"/>
                      <w:color w:val="000000"/>
                      <w:kern w:val="0"/>
                      <w:sz w:val="30"/>
                      <w:szCs w:val="30"/>
                    </w:rPr>
                    <w:t>引导社会资金投入民政事业发展，创新金融支持政策，鼓励政府与社会资本共同设立社会服务投资引导基金，对接国家开发银行金融支持政策，探索通过财政贴息、补助投资、风险补偿、债券发行等方式，创新金融服务产品和方式，破解融资难问题。</w:t>
                  </w:r>
                  <w:bookmarkStart w:id="14" w:name="_Toc438536529"/>
                  <w:r w:rsidRPr="00E23AFB">
                    <w:rPr>
                      <w:rFonts w:ascii="仿宋_GB2312" w:eastAsia="仿宋_GB2312" w:hAnsi="宋体" w:cs="宋体" w:hint="eastAsia"/>
                      <w:color w:val="000000"/>
                      <w:kern w:val="0"/>
                      <w:sz w:val="30"/>
                      <w:szCs w:val="30"/>
                    </w:rPr>
                    <w:t>稳步扩大福利彩票发行规模和彩票公益金筹集额度，提升福利彩票公益金使用效率。加强资金监管和内部审计，防范资金风险，确保民政资金合理高效使用。积极引导企业、慈善组织、社会人士等社会力量参与民政公共服务设施建设，争取加大预算内投资力度，建设一批基础性和示范性的重大项目。</w:t>
                  </w:r>
                  <w:bookmarkEnd w:id="14"/>
                  <w:r w:rsidRPr="00E23AFB">
                    <w:rPr>
                      <w:rFonts w:ascii="仿宋_GB2312" w:eastAsia="仿宋_GB2312" w:hAnsi="宋体" w:cs="宋体" w:hint="eastAsia"/>
                      <w:color w:val="000000"/>
                      <w:kern w:val="0"/>
                      <w:sz w:val="30"/>
                      <w:szCs w:val="30"/>
                      <w:shd w:val="clear" w:color="auto" w:fill="FFFFFF"/>
                    </w:rPr>
                    <w:t>推进</w:t>
                  </w:r>
                  <w:r w:rsidRPr="00E23AFB">
                    <w:rPr>
                      <w:rFonts w:ascii="仿宋_GB2312" w:eastAsia="仿宋_GB2312" w:hAnsi="宋体" w:cs="宋体" w:hint="eastAsia"/>
                      <w:color w:val="000000"/>
                      <w:kern w:val="0"/>
                      <w:sz w:val="30"/>
                      <w:szCs w:val="30"/>
                    </w:rPr>
                    <w:t>完善土地供应政策，将民政公共服务设施建设用地纳入土地利用总体规划和年度用地计划，采取划拨、协议出让、优惠招拍挂、租赁等多种方式优先保证社会公共服务设施用地供应。认真落实财政补助、税费减免</w:t>
                  </w:r>
                  <w:r w:rsidRPr="00E23AFB">
                    <w:rPr>
                      <w:rFonts w:ascii="仿宋_GB2312" w:eastAsia="仿宋_GB2312" w:hAnsi="宋体" w:cs="宋体" w:hint="eastAsia"/>
                      <w:color w:val="000000"/>
                      <w:spacing w:val="-4"/>
                      <w:kern w:val="0"/>
                      <w:sz w:val="30"/>
                      <w:szCs w:val="30"/>
                    </w:rPr>
                    <w:t>及用水、用电、用气等优惠政策，扶持社会力量参与社会公共服务。</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第六节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加强信息化建设</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强化全省民政信息化顶层设计，按照统筹规划、资源共享、保障安全的原则，采取统一规划、统一标准、统一平台的方式，积极推动民政工作与云计算、大数据、移动互联网、物联网等现代信息技术的深度融合，加快推进“互联网+民政”发展。整合各类信息资源，以民政基础数据库和业务数据库为基础，建设全省民政数据中心，实现民政业务互联互通、信息共享和业务协同；利用大数据计算对信息资源挖掘分析，为科学决策提供参考。做好信息系统安全工作，编制信息系统安全应急预案，开展预案演练，健全信息安全管理制度。</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黑体" w:eastAsia="黑体" w:hAnsi="宋体" w:cs="宋体" w:hint="eastAsia"/>
                      <w:color w:val="000000"/>
                      <w:kern w:val="0"/>
                      <w:sz w:val="28"/>
                      <w:szCs w:val="28"/>
                    </w:rPr>
                    <w:t>专栏8</w:t>
                  </w:r>
                </w:p>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2"/>
                    </w:rPr>
                    <w:t>民政信息化建设工程</w:t>
                  </w:r>
                </w:p>
                <w:tbl>
                  <w:tblPr>
                    <w:tblW w:w="4900" w:type="pct"/>
                    <w:jc w:val="center"/>
                    <w:tblCellMar>
                      <w:left w:w="0" w:type="dxa"/>
                      <w:right w:w="0" w:type="dxa"/>
                    </w:tblCellMar>
                    <w:tblLook w:val="04A0"/>
                  </w:tblPr>
                  <w:tblGrid>
                    <w:gridCol w:w="10743"/>
                  </w:tblGrid>
                  <w:tr w:rsidR="00E23AFB" w:rsidRPr="00E23AFB">
                    <w:trPr>
                      <w:trHeight w:val="2351"/>
                      <w:jc w:val="center"/>
                    </w:trPr>
                    <w:tc>
                      <w:tcPr>
                        <w:tcW w:w="8879" w:type="dxa"/>
                        <w:tcBorders>
                          <w:top w:val="single" w:sz="8" w:space="0" w:color="auto"/>
                          <w:left w:val="single" w:sz="8" w:space="0" w:color="auto"/>
                          <w:bottom w:val="single" w:sz="8" w:space="0" w:color="auto"/>
                          <w:right w:val="single" w:sz="8" w:space="0" w:color="auto"/>
                        </w:tcBorders>
                        <w:shd w:val="clear" w:color="auto" w:fill="auto"/>
                        <w:tcMar>
                          <w:top w:w="57" w:type="dxa"/>
                          <w:left w:w="108" w:type="dxa"/>
                          <w:bottom w:w="57" w:type="dxa"/>
                          <w:right w:w="108" w:type="dxa"/>
                        </w:tcMar>
                        <w:vAlign w:val="center"/>
                        <w:hideMark/>
                      </w:tcPr>
                      <w:p w:rsidR="00E23AFB" w:rsidRPr="00E23AFB" w:rsidRDefault="00E23AFB" w:rsidP="00E23AFB">
                        <w:pPr>
                          <w:widowControl/>
                          <w:spacing w:line="560" w:lineRule="atLeast"/>
                          <w:ind w:firstLine="504"/>
                          <w:jc w:val="left"/>
                          <w:rPr>
                            <w:rFonts w:ascii="宋体" w:eastAsia="宋体" w:hAnsi="宋体" w:cs="宋体"/>
                            <w:color w:val="000000"/>
                            <w:kern w:val="0"/>
                            <w:sz w:val="15"/>
                            <w:szCs w:val="15"/>
                          </w:rPr>
                        </w:pPr>
                        <w:r w:rsidRPr="00E23AFB">
                          <w:rPr>
                            <w:rFonts w:ascii="仿宋_GB2312" w:eastAsia="仿宋_GB2312" w:hAnsi="宋体" w:cs="宋体" w:hint="eastAsia"/>
                            <w:b/>
                            <w:bCs/>
                            <w:color w:val="000000"/>
                            <w:kern w:val="0"/>
                            <w:sz w:val="24"/>
                            <w:szCs w:val="24"/>
                          </w:rPr>
                          <w:t>河南省民政综合业务信息平台建设工程:</w:t>
                        </w:r>
                        <w:r w:rsidRPr="00E23AFB">
                          <w:rPr>
                            <w:rFonts w:ascii="仿宋_GB2312" w:eastAsia="仿宋_GB2312" w:hAnsi="宋体" w:cs="宋体" w:hint="eastAsia"/>
                            <w:color w:val="000000"/>
                            <w:kern w:val="0"/>
                            <w:sz w:val="24"/>
                            <w:szCs w:val="24"/>
                          </w:rPr>
                          <w:t>河南省民政综合业务信息平台建设内容包括信息化基础设施、安全体系、应用系统、应用支撑平台、数据中心和标准规范五部分。河南省民政综合业务信息平台建成后，各个民政核心业务可以在线联网办理；各类业务之间，以及民政部门与其他政府部门之间能够进行数据共享与业务协同，从而实现民政业务基础数据信息化、业务处理网络化、决策分析智能化、服务规范标准化、事项办理便捷化和查询监管透明化。</w:t>
                        </w:r>
                      </w:p>
                    </w:tc>
                  </w:tr>
                </w:tbl>
                <w:p w:rsidR="00E23AFB" w:rsidRPr="00E23AFB" w:rsidRDefault="00E23AFB" w:rsidP="00E23AFB">
                  <w:pPr>
                    <w:widowControl/>
                    <w:spacing w:line="560" w:lineRule="atLeast"/>
                    <w:jc w:val="center"/>
                    <w:rPr>
                      <w:rFonts w:ascii="宋体" w:eastAsia="宋体" w:hAnsi="宋体" w:cs="宋体" w:hint="eastAsia"/>
                      <w:color w:val="000000"/>
                      <w:kern w:val="0"/>
                      <w:sz w:val="20"/>
                      <w:szCs w:val="20"/>
                    </w:rPr>
                  </w:pPr>
                  <w:r w:rsidRPr="00E23AFB">
                    <w:rPr>
                      <w:rFonts w:ascii="仿宋_GB2312" w:eastAsia="仿宋_GB2312" w:hAnsi="宋体" w:cs="宋体" w:hint="eastAsia"/>
                      <w:b/>
                      <w:bCs/>
                      <w:color w:val="000000"/>
                      <w:kern w:val="0"/>
                      <w:sz w:val="30"/>
                    </w:rPr>
                    <w:t>第七节</w:t>
                  </w:r>
                  <w:r w:rsidRPr="00E23AFB">
                    <w:rPr>
                      <w:rFonts w:ascii="仿宋_GB2312" w:eastAsia="仿宋_GB2312" w:hAnsi="宋体" w:cs="宋体" w:hint="eastAsia"/>
                      <w:b/>
                      <w:bCs/>
                      <w:color w:val="000000"/>
                      <w:kern w:val="0"/>
                      <w:sz w:val="30"/>
                    </w:rPr>
                    <w:t> </w:t>
                  </w:r>
                  <w:r w:rsidRPr="00E23AFB">
                    <w:rPr>
                      <w:rFonts w:ascii="仿宋_GB2312" w:eastAsia="仿宋_GB2312" w:hAnsi="宋体" w:cs="宋体" w:hint="eastAsia"/>
                      <w:b/>
                      <w:bCs/>
                      <w:color w:val="000000"/>
                      <w:kern w:val="0"/>
                      <w:sz w:val="30"/>
                    </w:rPr>
                    <w:t>强化安全生产管理</w:t>
                  </w:r>
                </w:p>
                <w:p w:rsidR="00E23AFB" w:rsidRPr="00E23AFB" w:rsidRDefault="00E23AFB" w:rsidP="00E23AFB">
                  <w:pPr>
                    <w:widowControl/>
                    <w:spacing w:line="560" w:lineRule="atLeast"/>
                    <w:ind w:firstLine="622"/>
                    <w:jc w:val="left"/>
                    <w:rPr>
                      <w:rFonts w:ascii="宋体" w:eastAsia="宋体" w:hAnsi="宋体" w:cs="宋体" w:hint="eastAsia"/>
                      <w:color w:val="000000"/>
                      <w:kern w:val="0"/>
                      <w:sz w:val="20"/>
                      <w:szCs w:val="20"/>
                    </w:rPr>
                  </w:pPr>
                  <w:r w:rsidRPr="00E23AFB">
                    <w:rPr>
                      <w:rFonts w:ascii="仿宋_GB2312" w:eastAsia="仿宋_GB2312" w:hAnsi="宋体" w:cs="宋体" w:hint="eastAsia"/>
                      <w:color w:val="000000"/>
                      <w:kern w:val="0"/>
                      <w:sz w:val="30"/>
                      <w:szCs w:val="30"/>
                    </w:rPr>
                    <w:t>认真落实省委省政府和民政部等关于安全生产、行业监管方面的一系列指导精神和各项要求，大力加强安全生产制度建设、标准建设、设施建设、技术建设和应急救援体系建设，不断完善安全生产预防机制和监督管理机制，严格履行安全生产工作职责，切实打牢安全生产工作基础，确保全省民政系统各项工作安全顺利开展。</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宋体" w:eastAsia="宋体" w:hAnsi="宋体" w:cs="宋体" w:hint="eastAsia"/>
                      <w:color w:val="000000"/>
                      <w:kern w:val="0"/>
                      <w:sz w:val="20"/>
                      <w:szCs w:val="20"/>
                    </w:rPr>
                    <w:t> </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宋体" w:eastAsia="宋体" w:hAnsi="宋体" w:cs="宋体" w:hint="eastAsia"/>
                      <w:color w:val="000000"/>
                      <w:kern w:val="0"/>
                      <w:sz w:val="20"/>
                      <w:szCs w:val="20"/>
                    </w:rPr>
                    <w:t> </w:t>
                  </w: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宋体" w:eastAsia="宋体" w:hAnsi="宋体" w:cs="宋体" w:hint="eastAsia"/>
                      <w:color w:val="000000"/>
                      <w:kern w:val="0"/>
                      <w:sz w:val="20"/>
                      <w:szCs w:val="20"/>
                    </w:rPr>
                    <w:t> </w:t>
                  </w:r>
                </w:p>
                <w:p w:rsidR="00FE2ADD"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宋体" w:eastAsia="宋体" w:hAnsi="宋体" w:cs="宋体" w:hint="eastAsia"/>
                      <w:color w:val="000000"/>
                      <w:kern w:val="0"/>
                      <w:sz w:val="20"/>
                      <w:szCs w:val="20"/>
                    </w:rPr>
                    <w:t> </w:t>
                  </w:r>
                </w:p>
                <w:p w:rsidR="00FE2ADD" w:rsidRPr="00E23AFB" w:rsidRDefault="00FE2ADD" w:rsidP="00E23AFB">
                  <w:pPr>
                    <w:widowControl/>
                    <w:spacing w:line="560" w:lineRule="atLeast"/>
                    <w:jc w:val="left"/>
                    <w:rPr>
                      <w:rFonts w:ascii="宋体" w:eastAsia="宋体" w:hAnsi="宋体" w:cs="宋体" w:hint="eastAsia"/>
                      <w:color w:val="000000"/>
                      <w:kern w:val="0"/>
                      <w:sz w:val="20"/>
                      <w:szCs w:val="20"/>
                    </w:rPr>
                  </w:pPr>
                </w:p>
                <w:p w:rsidR="00E23AFB" w:rsidRPr="00E23AFB" w:rsidRDefault="00E23AFB" w:rsidP="00E23AFB">
                  <w:pPr>
                    <w:widowControl/>
                    <w:spacing w:line="560" w:lineRule="atLeast"/>
                    <w:jc w:val="left"/>
                    <w:rPr>
                      <w:rFonts w:ascii="宋体" w:eastAsia="宋体" w:hAnsi="宋体" w:cs="宋体" w:hint="eastAsia"/>
                      <w:color w:val="000000"/>
                      <w:kern w:val="0"/>
                      <w:sz w:val="20"/>
                      <w:szCs w:val="20"/>
                    </w:rPr>
                  </w:pPr>
                  <w:r w:rsidRPr="00E23AFB">
                    <w:rPr>
                      <w:rFonts w:ascii="宋体" w:eastAsia="宋体" w:hAnsi="宋体" w:cs="宋体" w:hint="eastAsia"/>
                      <w:color w:val="000000"/>
                      <w:kern w:val="0"/>
                      <w:sz w:val="20"/>
                      <w:szCs w:val="20"/>
                    </w:rPr>
                    <w:t> </w:t>
                  </w:r>
                </w:p>
                <w:tbl>
                  <w:tblPr>
                    <w:tblW w:w="8850" w:type="dxa"/>
                    <w:jc w:val="center"/>
                    <w:tblCellMar>
                      <w:left w:w="0" w:type="dxa"/>
                      <w:right w:w="0" w:type="dxa"/>
                    </w:tblCellMar>
                    <w:tblLook w:val="04A0"/>
                  </w:tblPr>
                  <w:tblGrid>
                    <w:gridCol w:w="8850"/>
                  </w:tblGrid>
                  <w:tr w:rsidR="00E23AFB" w:rsidRPr="00E23AFB">
                    <w:trPr>
                      <w:trHeight w:val="595"/>
                      <w:jc w:val="center"/>
                    </w:trPr>
                    <w:tc>
                      <w:tcPr>
                        <w:tcW w:w="8845" w:type="dxa"/>
                        <w:tcBorders>
                          <w:top w:val="single" w:sz="8" w:space="0" w:color="auto"/>
                          <w:left w:val="outset" w:sz="6" w:space="0" w:color="FFFFFF"/>
                          <w:bottom w:val="single" w:sz="8" w:space="0" w:color="auto"/>
                          <w:right w:val="outset" w:sz="6" w:space="0" w:color="FFFFFF"/>
                        </w:tcBorders>
                        <w:shd w:val="clear" w:color="auto" w:fill="auto"/>
                        <w:tcMar>
                          <w:top w:w="0" w:type="dxa"/>
                          <w:left w:w="108" w:type="dxa"/>
                          <w:bottom w:w="0" w:type="dxa"/>
                          <w:right w:w="108" w:type="dxa"/>
                        </w:tcMar>
                        <w:hideMark/>
                      </w:tcPr>
                      <w:p w:rsidR="00E23AFB" w:rsidRPr="00E23AFB" w:rsidRDefault="00E23AFB" w:rsidP="00E23AFB">
                        <w:pPr>
                          <w:widowControl/>
                          <w:spacing w:line="560" w:lineRule="atLeast"/>
                          <w:ind w:firstLine="87"/>
                          <w:jc w:val="left"/>
                          <w:rPr>
                            <w:rFonts w:ascii="宋体" w:eastAsia="宋体" w:hAnsi="宋体" w:cs="宋体"/>
                            <w:color w:val="000000"/>
                            <w:kern w:val="0"/>
                            <w:sz w:val="15"/>
                            <w:szCs w:val="15"/>
                          </w:rPr>
                        </w:pPr>
                        <w:r w:rsidRPr="00E23AFB">
                          <w:rPr>
                            <w:rFonts w:ascii="仿宋_GB2312" w:eastAsia="仿宋_GB2312" w:hAnsi="宋体" w:cs="宋体" w:hint="eastAsia"/>
                            <w:color w:val="000000"/>
                            <w:kern w:val="0"/>
                            <w:sz w:val="28"/>
                            <w:szCs w:val="28"/>
                          </w:rPr>
                          <w:t>河南省民政厅办公室</w:t>
                        </w:r>
                        <w:r w:rsidRPr="00E23AFB">
                          <w:rPr>
                            <w:rFonts w:ascii="仿宋_GB2312" w:eastAsia="仿宋_GB2312" w:hAnsi="宋体" w:cs="宋体" w:hint="eastAsia"/>
                            <w:color w:val="000000"/>
                            <w:kern w:val="0"/>
                            <w:sz w:val="28"/>
                            <w:szCs w:val="28"/>
                          </w:rPr>
                          <w:t>                   </w:t>
                        </w:r>
                        <w:r w:rsidRPr="00E23AFB">
                          <w:rPr>
                            <w:rFonts w:ascii="仿宋_GB2312" w:eastAsia="仿宋_GB2312" w:hAnsi="宋体" w:cs="宋体" w:hint="eastAsia"/>
                            <w:color w:val="000000"/>
                            <w:kern w:val="0"/>
                            <w:sz w:val="28"/>
                            <w:szCs w:val="28"/>
                          </w:rPr>
                          <w:t xml:space="preserve"> 2016年11月21日印发</w:t>
                        </w:r>
                      </w:p>
                    </w:tc>
                  </w:tr>
                </w:tbl>
                <w:p w:rsidR="00E23AFB" w:rsidRPr="00E23AFB" w:rsidRDefault="00E23AFB" w:rsidP="00FE2ADD">
                  <w:pPr>
                    <w:widowControl/>
                    <w:spacing w:line="560" w:lineRule="atLeast"/>
                    <w:jc w:val="left"/>
                    <w:rPr>
                      <w:rFonts w:ascii="宋体" w:eastAsia="宋体" w:hAnsi="宋体" w:cs="宋体" w:hint="eastAsia"/>
                      <w:color w:val="000000"/>
                      <w:kern w:val="0"/>
                      <w:sz w:val="20"/>
                      <w:szCs w:val="20"/>
                    </w:rPr>
                  </w:pPr>
                  <w:r w:rsidRPr="00E23AFB">
                    <w:rPr>
                      <w:rFonts w:ascii="宋体" w:eastAsia="宋体" w:hAnsi="宋体" w:cs="宋体" w:hint="eastAsia"/>
                      <w:color w:val="000000"/>
                      <w:kern w:val="0"/>
                      <w:sz w:val="20"/>
                      <w:szCs w:val="20"/>
                    </w:rPr>
                    <w:t> </w:t>
                  </w:r>
                </w:p>
                <w:p w:rsidR="00E23AFB" w:rsidRPr="00E23AFB" w:rsidRDefault="00E23AFB" w:rsidP="00E23AFB">
                  <w:pPr>
                    <w:widowControl/>
                    <w:spacing w:line="560" w:lineRule="atLeast"/>
                    <w:ind w:firstLine="6893"/>
                    <w:jc w:val="left"/>
                    <w:rPr>
                      <w:rFonts w:ascii="宋体" w:eastAsia="宋体" w:hAnsi="宋体" w:cs="宋体"/>
                      <w:color w:val="000000"/>
                      <w:kern w:val="0"/>
                      <w:sz w:val="20"/>
                      <w:szCs w:val="20"/>
                    </w:rPr>
                  </w:pPr>
                  <w:r w:rsidRPr="00E23AFB">
                    <w:rPr>
                      <w:rFonts w:ascii="宋体" w:eastAsia="宋体" w:hAnsi="宋体" w:cs="宋体" w:hint="eastAsia"/>
                      <w:color w:val="000000"/>
                      <w:kern w:val="0"/>
                      <w:sz w:val="20"/>
                      <w:szCs w:val="20"/>
                    </w:rPr>
                    <w:t> </w:t>
                  </w:r>
                </w:p>
              </w:tc>
            </w:tr>
          </w:tbl>
          <w:p w:rsidR="00E23AFB" w:rsidRPr="00E23AFB" w:rsidRDefault="00E23AFB" w:rsidP="00E23AFB">
            <w:pPr>
              <w:widowControl/>
              <w:jc w:val="center"/>
              <w:rPr>
                <w:rFonts w:ascii="宋体" w:eastAsia="宋体" w:hAnsi="宋体" w:cs="宋体"/>
                <w:vanish/>
                <w:color w:val="000000"/>
                <w:kern w:val="0"/>
                <w:sz w:val="15"/>
                <w:szCs w:val="15"/>
              </w:rPr>
            </w:pPr>
          </w:p>
          <w:tbl>
            <w:tblPr>
              <w:tblW w:w="4750" w:type="pct"/>
              <w:jc w:val="center"/>
              <w:tblCellSpacing w:w="0" w:type="dxa"/>
              <w:tblCellMar>
                <w:left w:w="0" w:type="dxa"/>
                <w:right w:w="0" w:type="dxa"/>
              </w:tblCellMar>
              <w:tblLook w:val="04A0"/>
            </w:tblPr>
            <w:tblGrid>
              <w:gridCol w:w="10982"/>
            </w:tblGrid>
            <w:tr w:rsidR="00E23AFB" w:rsidRPr="00E23AFB">
              <w:trPr>
                <w:tblCellSpacing w:w="0" w:type="dxa"/>
                <w:jc w:val="center"/>
              </w:trPr>
              <w:tc>
                <w:tcPr>
                  <w:tcW w:w="0" w:type="auto"/>
                  <w:vAlign w:val="center"/>
                  <w:hideMark/>
                </w:tcPr>
                <w:p w:rsidR="00E23AFB" w:rsidRPr="00E23AFB" w:rsidRDefault="00E23AFB" w:rsidP="00E23AFB">
                  <w:pPr>
                    <w:widowControl/>
                    <w:jc w:val="left"/>
                    <w:rPr>
                      <w:rFonts w:ascii="宋体" w:eastAsia="宋体" w:hAnsi="宋体" w:cs="宋体"/>
                      <w:color w:val="000000"/>
                      <w:kern w:val="0"/>
                      <w:sz w:val="15"/>
                      <w:szCs w:val="15"/>
                    </w:rPr>
                  </w:pPr>
                </w:p>
              </w:tc>
            </w:tr>
          </w:tbl>
          <w:p w:rsidR="00E23AFB" w:rsidRPr="00E23AFB" w:rsidRDefault="00E23AFB" w:rsidP="00E23AFB">
            <w:pPr>
              <w:widowControl/>
              <w:jc w:val="center"/>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r>
      <w:tr w:rsidR="00E23AFB" w:rsidRPr="00E23AFB" w:rsidTr="00E81E81">
        <w:trPr>
          <w:tblCellSpacing w:w="0" w:type="dxa"/>
          <w:jc w:val="center"/>
        </w:trPr>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58" w:type="dxa"/>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shd w:val="clear" w:color="auto" w:fill="B9B9B9"/>
            <w:hideMark/>
          </w:tcPr>
          <w:p w:rsidR="00E23AFB" w:rsidRPr="00E23AFB" w:rsidRDefault="00E23AFB" w:rsidP="00E23AFB">
            <w:pPr>
              <w:widowControl/>
              <w:jc w:val="left"/>
              <w:rPr>
                <w:rFonts w:ascii="宋体" w:eastAsia="宋体" w:hAnsi="宋体" w:cs="宋体"/>
                <w:color w:val="000000"/>
                <w:kern w:val="0"/>
                <w:sz w:val="2"/>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r>
      <w:tr w:rsidR="00E23AFB" w:rsidRPr="00E23AFB" w:rsidTr="00E81E81">
        <w:trPr>
          <w:trHeight w:val="15"/>
          <w:tblCellSpacing w:w="0" w:type="dxa"/>
          <w:jc w:val="center"/>
        </w:trPr>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58" w:type="dxa"/>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shd w:val="clear" w:color="auto" w:fill="FFFFFF"/>
            <w:hideMark/>
          </w:tcPr>
          <w:p w:rsidR="00E23AFB" w:rsidRPr="00E23AFB" w:rsidRDefault="00E23AFB" w:rsidP="00E23AFB">
            <w:pPr>
              <w:widowControl/>
              <w:jc w:val="left"/>
              <w:rPr>
                <w:rFonts w:ascii="宋体" w:eastAsia="宋体" w:hAnsi="宋体" w:cs="宋体"/>
                <w:color w:val="000000"/>
                <w:kern w:val="0"/>
                <w:sz w:val="8"/>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r>
      <w:tr w:rsidR="00E23AFB" w:rsidRPr="00E23AFB" w:rsidTr="00FE2ADD">
        <w:trPr>
          <w:trHeight w:val="1016"/>
          <w:tblCellSpacing w:w="0" w:type="dxa"/>
          <w:jc w:val="center"/>
        </w:trPr>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58" w:type="dxa"/>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shd w:val="clear" w:color="auto" w:fill="FFFFFF"/>
            <w:hideMark/>
          </w:tcPr>
          <w:tbl>
            <w:tblPr>
              <w:tblW w:w="1200" w:type="dxa"/>
              <w:jc w:val="center"/>
              <w:tblCellSpacing w:w="0" w:type="dxa"/>
              <w:tblCellMar>
                <w:left w:w="0" w:type="dxa"/>
                <w:right w:w="0" w:type="dxa"/>
              </w:tblCellMar>
              <w:tblLook w:val="04A0"/>
            </w:tblPr>
            <w:tblGrid>
              <w:gridCol w:w="1200"/>
            </w:tblGrid>
            <w:tr w:rsidR="00E23AFB" w:rsidRPr="00E23AFB">
              <w:trPr>
                <w:tblCellSpacing w:w="0" w:type="dxa"/>
                <w:jc w:val="center"/>
              </w:trPr>
              <w:tc>
                <w:tcPr>
                  <w:tcW w:w="0" w:type="auto"/>
                  <w:vAlign w:val="center"/>
                  <w:hideMark/>
                </w:tcPr>
                <w:p w:rsidR="00E23AFB" w:rsidRPr="00E23AFB" w:rsidRDefault="00E23AFB" w:rsidP="00E23AFB">
                  <w:pPr>
                    <w:widowControl/>
                    <w:jc w:val="left"/>
                    <w:rPr>
                      <w:rFonts w:ascii="宋体" w:eastAsia="宋体" w:hAnsi="宋体" w:cs="宋体"/>
                      <w:color w:val="000000"/>
                      <w:kern w:val="0"/>
                      <w:sz w:val="15"/>
                      <w:szCs w:val="15"/>
                    </w:rPr>
                  </w:pPr>
                </w:p>
              </w:tc>
            </w:tr>
          </w:tbl>
          <w:p w:rsidR="00E23AFB" w:rsidRPr="00E23AFB" w:rsidRDefault="00E23AFB" w:rsidP="00E23AFB">
            <w:pPr>
              <w:widowControl/>
              <w:jc w:val="center"/>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r>
      <w:tr w:rsidR="00E23AFB" w:rsidRPr="00E23AFB" w:rsidTr="00E81E81">
        <w:trPr>
          <w:tblCellSpacing w:w="0" w:type="dxa"/>
          <w:jc w:val="center"/>
        </w:trPr>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58" w:type="dxa"/>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r>
      <w:tr w:rsidR="00E23AFB" w:rsidRPr="00E23AFB" w:rsidTr="00E81E81">
        <w:trPr>
          <w:trHeight w:val="15"/>
          <w:tblCellSpacing w:w="0" w:type="dxa"/>
          <w:jc w:val="center"/>
        </w:trPr>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11660" w:type="dxa"/>
            <w:gridSpan w:val="5"/>
            <w:shd w:val="clear" w:color="auto" w:fill="B5B5B5"/>
            <w:vAlign w:val="center"/>
            <w:hideMark/>
          </w:tcPr>
          <w:p w:rsidR="00E23AFB" w:rsidRPr="00E23AFB" w:rsidRDefault="00E23AFB" w:rsidP="00E23AFB">
            <w:pPr>
              <w:widowControl/>
              <w:jc w:val="left"/>
              <w:rPr>
                <w:rFonts w:ascii="宋体" w:eastAsia="宋体" w:hAnsi="宋体" w:cs="宋体"/>
                <w:color w:val="000000"/>
                <w:kern w:val="0"/>
                <w:sz w:val="2"/>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r>
      <w:tr w:rsidR="00E23AFB" w:rsidRPr="00E23AFB" w:rsidTr="00E81E81">
        <w:trPr>
          <w:trHeight w:val="45"/>
          <w:tblCellSpacing w:w="0" w:type="dxa"/>
          <w:jc w:val="center"/>
        </w:trPr>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11660" w:type="dxa"/>
            <w:gridSpan w:val="5"/>
            <w:shd w:val="clear" w:color="auto" w:fill="E0E0E0"/>
            <w:vAlign w:val="center"/>
            <w:hideMark/>
          </w:tcPr>
          <w:p w:rsidR="00E23AFB" w:rsidRPr="00E23AFB" w:rsidRDefault="00E23AFB" w:rsidP="00E23AFB">
            <w:pPr>
              <w:widowControl/>
              <w:spacing w:line="45" w:lineRule="atLeast"/>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c>
          <w:tcPr>
            <w:tcW w:w="0" w:type="auto"/>
            <w:vMerge/>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2"/>
                <w:szCs w:val="15"/>
              </w:rPr>
            </w:pPr>
          </w:p>
        </w:tc>
      </w:tr>
    </w:tbl>
    <w:p w:rsidR="00E23AFB" w:rsidRPr="00E23AFB" w:rsidRDefault="00E23AFB" w:rsidP="00E23AFB">
      <w:pPr>
        <w:widowControl/>
        <w:jc w:val="left"/>
        <w:rPr>
          <w:rFonts w:ascii="宋体" w:eastAsia="宋体" w:hAnsi="宋体" w:cs="宋体"/>
          <w:vanish/>
          <w:kern w:val="0"/>
          <w:sz w:val="24"/>
          <w:szCs w:val="24"/>
        </w:rPr>
      </w:pPr>
    </w:p>
    <w:tbl>
      <w:tblPr>
        <w:tblW w:w="11700" w:type="dxa"/>
        <w:jc w:val="center"/>
        <w:tblCellSpacing w:w="0" w:type="dxa"/>
        <w:tblCellMar>
          <w:left w:w="0" w:type="dxa"/>
          <w:right w:w="0" w:type="dxa"/>
        </w:tblCellMar>
        <w:tblLook w:val="04A0"/>
      </w:tblPr>
      <w:tblGrid>
        <w:gridCol w:w="11700"/>
      </w:tblGrid>
      <w:tr w:rsidR="00E23AFB" w:rsidRPr="00E23AFB" w:rsidTr="00E23AFB">
        <w:trPr>
          <w:tblCellSpacing w:w="0" w:type="dxa"/>
          <w:jc w:val="center"/>
        </w:trPr>
        <w:tc>
          <w:tcPr>
            <w:tcW w:w="0" w:type="auto"/>
            <w:shd w:val="clear" w:color="auto" w:fill="FFFFFF"/>
            <w:vAlign w:val="center"/>
            <w:hideMark/>
          </w:tcPr>
          <w:p w:rsidR="00E23AFB" w:rsidRPr="00E23AFB" w:rsidRDefault="00E23AFB" w:rsidP="00E23AFB">
            <w:pPr>
              <w:widowControl/>
              <w:jc w:val="left"/>
              <w:rPr>
                <w:rFonts w:ascii="宋体" w:eastAsia="宋体" w:hAnsi="宋体" w:cs="宋体"/>
                <w:color w:val="000000"/>
                <w:kern w:val="0"/>
                <w:sz w:val="15"/>
                <w:szCs w:val="15"/>
              </w:rPr>
            </w:pPr>
          </w:p>
        </w:tc>
      </w:tr>
    </w:tbl>
    <w:p w:rsidR="00E23AFB" w:rsidRPr="00E23AFB" w:rsidRDefault="00E23AFB" w:rsidP="00E23AFB">
      <w:pPr>
        <w:widowControl/>
        <w:jc w:val="left"/>
        <w:rPr>
          <w:rFonts w:ascii="宋体" w:eastAsia="宋体" w:hAnsi="宋体" w:cs="宋体"/>
          <w:vanish/>
          <w:kern w:val="0"/>
          <w:sz w:val="24"/>
          <w:szCs w:val="24"/>
        </w:rPr>
      </w:pPr>
    </w:p>
    <w:p w:rsidR="00E23AFB" w:rsidRPr="00E23AFB" w:rsidRDefault="00E23AFB" w:rsidP="00E23AFB">
      <w:pPr>
        <w:widowControl/>
        <w:jc w:val="left"/>
        <w:rPr>
          <w:rFonts w:ascii="宋体" w:eastAsia="宋体" w:hAnsi="宋体" w:cs="宋体"/>
          <w:vanish/>
          <w:kern w:val="0"/>
          <w:sz w:val="24"/>
          <w:szCs w:val="24"/>
        </w:rPr>
      </w:pPr>
    </w:p>
    <w:p w:rsidR="00C00C04" w:rsidRPr="00E23AFB" w:rsidRDefault="00C00C04">
      <w:pPr>
        <w:rPr>
          <w:rFonts w:hint="eastAsia"/>
        </w:rPr>
      </w:pPr>
    </w:p>
    <w:sectPr w:rsidR="00C00C04" w:rsidRPr="00E23AFB" w:rsidSect="00C00C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3AFB"/>
    <w:rsid w:val="00C00C04"/>
    <w:rsid w:val="00E23AFB"/>
    <w:rsid w:val="00FE2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C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3AFB"/>
    <w:rPr>
      <w:color w:val="0000FF"/>
      <w:u w:val="single"/>
    </w:rPr>
  </w:style>
  <w:style w:type="character" w:customStyle="1" w:styleId="apple-converted-space">
    <w:name w:val="apple-converted-space"/>
    <w:basedOn w:val="a0"/>
    <w:rsid w:val="00E23AFB"/>
  </w:style>
  <w:style w:type="character" w:styleId="a4">
    <w:name w:val="Strong"/>
    <w:basedOn w:val="a0"/>
    <w:uiPriority w:val="22"/>
    <w:qFormat/>
    <w:rsid w:val="00E23AFB"/>
    <w:rPr>
      <w:b/>
      <w:bCs/>
    </w:rPr>
  </w:style>
  <w:style w:type="paragraph" w:styleId="a5">
    <w:name w:val="Normal (Web)"/>
    <w:basedOn w:val="a"/>
    <w:uiPriority w:val="99"/>
    <w:semiHidden/>
    <w:unhideWhenUsed/>
    <w:rsid w:val="00E23AF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E23AFB"/>
    <w:rPr>
      <w:sz w:val="18"/>
      <w:szCs w:val="18"/>
    </w:rPr>
  </w:style>
  <w:style w:type="character" w:customStyle="1" w:styleId="Char">
    <w:name w:val="批注框文本 Char"/>
    <w:basedOn w:val="a0"/>
    <w:link w:val="a6"/>
    <w:uiPriority w:val="99"/>
    <w:semiHidden/>
    <w:rsid w:val="00E23AFB"/>
    <w:rPr>
      <w:sz w:val="18"/>
      <w:szCs w:val="18"/>
    </w:rPr>
  </w:style>
</w:styles>
</file>

<file path=word/webSettings.xml><?xml version="1.0" encoding="utf-8"?>
<w:webSettings xmlns:r="http://schemas.openxmlformats.org/officeDocument/2006/relationships" xmlns:w="http://schemas.openxmlformats.org/wordprocessingml/2006/main">
  <w:divs>
    <w:div w:id="773673956">
      <w:bodyDiv w:val="1"/>
      <w:marLeft w:val="0"/>
      <w:marRight w:val="0"/>
      <w:marTop w:val="0"/>
      <w:marBottom w:val="0"/>
      <w:divBdr>
        <w:top w:val="none" w:sz="0" w:space="0" w:color="auto"/>
        <w:left w:val="none" w:sz="0" w:space="0" w:color="auto"/>
        <w:bottom w:val="none" w:sz="0" w:space="0" w:color="auto"/>
        <w:right w:val="none" w:sz="0" w:space="0" w:color="auto"/>
      </w:divBdr>
      <w:divsChild>
        <w:div w:id="465507904">
          <w:marLeft w:val="0"/>
          <w:marRight w:val="0"/>
          <w:marTop w:val="0"/>
          <w:marBottom w:val="0"/>
          <w:divBdr>
            <w:top w:val="none" w:sz="0" w:space="0" w:color="auto"/>
            <w:left w:val="none" w:sz="0" w:space="0" w:color="auto"/>
            <w:bottom w:val="none" w:sz="0" w:space="0" w:color="auto"/>
            <w:right w:val="none" w:sz="0" w:space="0" w:color="auto"/>
          </w:divBdr>
        </w:div>
        <w:div w:id="77480617">
          <w:marLeft w:val="0"/>
          <w:marRight w:val="0"/>
          <w:marTop w:val="0"/>
          <w:marBottom w:val="0"/>
          <w:divBdr>
            <w:top w:val="none" w:sz="0" w:space="0" w:color="auto"/>
            <w:left w:val="none" w:sz="0" w:space="0" w:color="auto"/>
            <w:bottom w:val="none" w:sz="0" w:space="0" w:color="auto"/>
            <w:right w:val="none" w:sz="0" w:space="0" w:color="auto"/>
          </w:divBdr>
          <w:divsChild>
            <w:div w:id="371883317">
              <w:marLeft w:val="0"/>
              <w:marRight w:val="0"/>
              <w:marTop w:val="1191"/>
              <w:marBottom w:val="0"/>
              <w:divBdr>
                <w:top w:val="none" w:sz="0" w:space="0" w:color="auto"/>
                <w:left w:val="none" w:sz="0" w:space="0" w:color="auto"/>
                <w:bottom w:val="none" w:sz="0" w:space="0" w:color="auto"/>
                <w:right w:val="none" w:sz="0" w:space="0" w:color="auto"/>
              </w:divBdr>
            </w:div>
            <w:div w:id="63377789">
              <w:marLeft w:val="0"/>
              <w:marRight w:val="442"/>
              <w:marTop w:val="0"/>
              <w:marBottom w:val="0"/>
              <w:divBdr>
                <w:top w:val="none" w:sz="0" w:space="0" w:color="auto"/>
                <w:left w:val="none" w:sz="0" w:space="0" w:color="auto"/>
                <w:bottom w:val="none" w:sz="0" w:space="0" w:color="auto"/>
                <w:right w:val="none" w:sz="0" w:space="0" w:color="auto"/>
              </w:divBdr>
            </w:div>
            <w:div w:id="1696541437">
              <w:marLeft w:val="0"/>
              <w:marRight w:val="0"/>
              <w:marTop w:val="0"/>
              <w:marBottom w:val="0"/>
              <w:divBdr>
                <w:top w:val="none" w:sz="0" w:space="0" w:color="auto"/>
                <w:left w:val="none" w:sz="0" w:space="0" w:color="auto"/>
                <w:bottom w:val="none" w:sz="0" w:space="0" w:color="auto"/>
                <w:right w:val="none" w:sz="0" w:space="0" w:color="auto"/>
              </w:divBdr>
            </w:div>
            <w:div w:id="1157452072">
              <w:marLeft w:val="0"/>
              <w:marRight w:val="0"/>
              <w:marTop w:val="0"/>
              <w:marBottom w:val="0"/>
              <w:divBdr>
                <w:top w:val="none" w:sz="0" w:space="0" w:color="auto"/>
                <w:left w:val="none" w:sz="0" w:space="0" w:color="auto"/>
                <w:bottom w:val="none" w:sz="0" w:space="0" w:color="auto"/>
                <w:right w:val="none" w:sz="0" w:space="0" w:color="auto"/>
              </w:divBdr>
            </w:div>
            <w:div w:id="127748585">
              <w:marLeft w:val="0"/>
              <w:marRight w:val="0"/>
              <w:marTop w:val="0"/>
              <w:marBottom w:val="0"/>
              <w:divBdr>
                <w:top w:val="none" w:sz="0" w:space="0" w:color="auto"/>
                <w:left w:val="none" w:sz="0" w:space="0" w:color="auto"/>
                <w:bottom w:val="none" w:sz="0" w:space="0" w:color="auto"/>
                <w:right w:val="none" w:sz="0" w:space="0" w:color="auto"/>
              </w:divBdr>
            </w:div>
            <w:div w:id="358510458">
              <w:marLeft w:val="0"/>
              <w:marRight w:val="0"/>
              <w:marTop w:val="0"/>
              <w:marBottom w:val="0"/>
              <w:divBdr>
                <w:top w:val="none" w:sz="0" w:space="0" w:color="auto"/>
                <w:left w:val="none" w:sz="0" w:space="0" w:color="auto"/>
                <w:bottom w:val="none" w:sz="0" w:space="0" w:color="auto"/>
                <w:right w:val="none" w:sz="0" w:space="0" w:color="auto"/>
              </w:divBdr>
            </w:div>
            <w:div w:id="1073938868">
              <w:marLeft w:val="0"/>
              <w:marRight w:val="0"/>
              <w:marTop w:val="0"/>
              <w:marBottom w:val="0"/>
              <w:divBdr>
                <w:top w:val="none" w:sz="0" w:space="0" w:color="auto"/>
                <w:left w:val="none" w:sz="0" w:space="0" w:color="auto"/>
                <w:bottom w:val="none" w:sz="0" w:space="0" w:color="auto"/>
                <w:right w:val="none" w:sz="0" w:space="0" w:color="auto"/>
              </w:divBdr>
            </w:div>
            <w:div w:id="1685784144">
              <w:marLeft w:val="0"/>
              <w:marRight w:val="0"/>
              <w:marTop w:val="0"/>
              <w:marBottom w:val="0"/>
              <w:divBdr>
                <w:top w:val="none" w:sz="0" w:space="0" w:color="auto"/>
                <w:left w:val="none" w:sz="0" w:space="0" w:color="auto"/>
                <w:bottom w:val="none" w:sz="0" w:space="0" w:color="auto"/>
                <w:right w:val="none" w:sz="0" w:space="0" w:color="auto"/>
              </w:divBdr>
            </w:div>
            <w:div w:id="703098330">
              <w:marLeft w:val="0"/>
              <w:marRight w:val="0"/>
              <w:marTop w:val="0"/>
              <w:marBottom w:val="0"/>
              <w:divBdr>
                <w:top w:val="none" w:sz="0" w:space="0" w:color="auto"/>
                <w:left w:val="none" w:sz="0" w:space="0" w:color="auto"/>
                <w:bottom w:val="none" w:sz="0" w:space="0" w:color="auto"/>
                <w:right w:val="none" w:sz="0" w:space="0" w:color="auto"/>
              </w:divBdr>
            </w:div>
            <w:div w:id="1698967815">
              <w:marLeft w:val="0"/>
              <w:marRight w:val="0"/>
              <w:marTop w:val="0"/>
              <w:marBottom w:val="0"/>
              <w:divBdr>
                <w:top w:val="none" w:sz="0" w:space="0" w:color="auto"/>
                <w:left w:val="none" w:sz="0" w:space="0" w:color="auto"/>
                <w:bottom w:val="none" w:sz="0" w:space="0" w:color="auto"/>
                <w:right w:val="none" w:sz="0" w:space="0" w:color="auto"/>
              </w:divBdr>
            </w:div>
            <w:div w:id="2118594882">
              <w:marLeft w:val="0"/>
              <w:marRight w:val="0"/>
              <w:marTop w:val="0"/>
              <w:marBottom w:val="0"/>
              <w:divBdr>
                <w:top w:val="none" w:sz="0" w:space="0" w:color="auto"/>
                <w:left w:val="none" w:sz="0" w:space="0" w:color="auto"/>
                <w:bottom w:val="none" w:sz="0" w:space="0" w:color="auto"/>
                <w:right w:val="none" w:sz="0" w:space="0" w:color="auto"/>
              </w:divBdr>
            </w:div>
            <w:div w:id="1112826993">
              <w:marLeft w:val="0"/>
              <w:marRight w:val="0"/>
              <w:marTop w:val="0"/>
              <w:marBottom w:val="0"/>
              <w:divBdr>
                <w:top w:val="none" w:sz="0" w:space="0" w:color="auto"/>
                <w:left w:val="none" w:sz="0" w:space="0" w:color="auto"/>
                <w:bottom w:val="none" w:sz="0" w:space="0" w:color="auto"/>
                <w:right w:val="none" w:sz="0" w:space="0" w:color="auto"/>
              </w:divBdr>
            </w:div>
            <w:div w:id="1707675036">
              <w:marLeft w:val="0"/>
              <w:marRight w:val="0"/>
              <w:marTop w:val="152"/>
              <w:marBottom w:val="0"/>
              <w:divBdr>
                <w:top w:val="none" w:sz="0" w:space="0" w:color="auto"/>
                <w:left w:val="none" w:sz="0" w:space="0" w:color="auto"/>
                <w:bottom w:val="none" w:sz="0" w:space="0" w:color="auto"/>
                <w:right w:val="none" w:sz="0" w:space="0" w:color="auto"/>
              </w:divBdr>
            </w:div>
            <w:div w:id="418716855">
              <w:marLeft w:val="0"/>
              <w:marRight w:val="0"/>
              <w:marTop w:val="0"/>
              <w:marBottom w:val="0"/>
              <w:divBdr>
                <w:top w:val="none" w:sz="0" w:space="0" w:color="auto"/>
                <w:left w:val="none" w:sz="0" w:space="0" w:color="auto"/>
                <w:bottom w:val="none" w:sz="0" w:space="0" w:color="auto"/>
                <w:right w:val="none" w:sz="0" w:space="0" w:color="auto"/>
              </w:divBdr>
            </w:div>
            <w:div w:id="959800304">
              <w:marLeft w:val="0"/>
              <w:marRight w:val="0"/>
              <w:marTop w:val="152"/>
              <w:marBottom w:val="0"/>
              <w:divBdr>
                <w:top w:val="none" w:sz="0" w:space="0" w:color="auto"/>
                <w:left w:val="none" w:sz="0" w:space="0" w:color="auto"/>
                <w:bottom w:val="none" w:sz="0" w:space="0" w:color="auto"/>
                <w:right w:val="none" w:sz="0" w:space="0" w:color="auto"/>
              </w:divBdr>
            </w:div>
            <w:div w:id="112212330">
              <w:marLeft w:val="0"/>
              <w:marRight w:val="0"/>
              <w:marTop w:val="0"/>
              <w:marBottom w:val="0"/>
              <w:divBdr>
                <w:top w:val="none" w:sz="0" w:space="0" w:color="auto"/>
                <w:left w:val="none" w:sz="0" w:space="0" w:color="auto"/>
                <w:bottom w:val="none" w:sz="0" w:space="0" w:color="auto"/>
                <w:right w:val="none" w:sz="0" w:space="0" w:color="auto"/>
              </w:divBdr>
            </w:div>
            <w:div w:id="493496389">
              <w:marLeft w:val="0"/>
              <w:marRight w:val="0"/>
              <w:marTop w:val="0"/>
              <w:marBottom w:val="0"/>
              <w:divBdr>
                <w:top w:val="none" w:sz="0" w:space="0" w:color="auto"/>
                <w:left w:val="none" w:sz="0" w:space="0" w:color="auto"/>
                <w:bottom w:val="none" w:sz="0" w:space="0" w:color="auto"/>
                <w:right w:val="none" w:sz="0" w:space="0" w:color="auto"/>
              </w:divBdr>
            </w:div>
            <w:div w:id="3485143">
              <w:marLeft w:val="0"/>
              <w:marRight w:val="0"/>
              <w:marTop w:val="0"/>
              <w:marBottom w:val="0"/>
              <w:divBdr>
                <w:top w:val="none" w:sz="0" w:space="0" w:color="auto"/>
                <w:left w:val="none" w:sz="0" w:space="0" w:color="auto"/>
                <w:bottom w:val="none" w:sz="0" w:space="0" w:color="auto"/>
                <w:right w:val="none" w:sz="0" w:space="0" w:color="auto"/>
              </w:divBdr>
            </w:div>
            <w:div w:id="919293591">
              <w:marLeft w:val="0"/>
              <w:marRight w:val="0"/>
              <w:marTop w:val="0"/>
              <w:marBottom w:val="0"/>
              <w:divBdr>
                <w:top w:val="none" w:sz="0" w:space="0" w:color="auto"/>
                <w:left w:val="none" w:sz="0" w:space="0" w:color="auto"/>
                <w:bottom w:val="none" w:sz="0" w:space="0" w:color="auto"/>
                <w:right w:val="none" w:sz="0" w:space="0" w:color="auto"/>
              </w:divBdr>
            </w:div>
          </w:divsChild>
        </w:div>
        <w:div w:id="1539583663">
          <w:marLeft w:val="0"/>
          <w:marRight w:val="0"/>
          <w:marTop w:val="0"/>
          <w:marBottom w:val="0"/>
          <w:divBdr>
            <w:top w:val="none" w:sz="0" w:space="0" w:color="auto"/>
            <w:left w:val="none" w:sz="0" w:space="0" w:color="auto"/>
            <w:bottom w:val="none" w:sz="0" w:space="0" w:color="auto"/>
            <w:right w:val="none" w:sz="0" w:space="0" w:color="auto"/>
          </w:divBdr>
        </w:div>
        <w:div w:id="23600582">
          <w:marLeft w:val="0"/>
          <w:marRight w:val="0"/>
          <w:marTop w:val="152"/>
          <w:marBottom w:val="152"/>
          <w:divBdr>
            <w:top w:val="none" w:sz="0" w:space="0" w:color="auto"/>
            <w:left w:val="none" w:sz="0" w:space="0" w:color="auto"/>
            <w:bottom w:val="none" w:sz="0" w:space="0" w:color="auto"/>
            <w:right w:val="none" w:sz="0" w:space="0" w:color="auto"/>
          </w:divBdr>
        </w:div>
        <w:div w:id="855729500">
          <w:marLeft w:val="111"/>
          <w:marRight w:val="0"/>
          <w:marTop w:val="0"/>
          <w:marBottom w:val="0"/>
          <w:divBdr>
            <w:top w:val="none" w:sz="0" w:space="0" w:color="auto"/>
            <w:left w:val="none" w:sz="0" w:space="0" w:color="auto"/>
            <w:bottom w:val="none" w:sz="0" w:space="0" w:color="auto"/>
            <w:right w:val="none" w:sz="0" w:space="0" w:color="auto"/>
          </w:divBdr>
        </w:div>
        <w:div w:id="706951259">
          <w:marLeft w:val="111"/>
          <w:marRight w:val="0"/>
          <w:marTop w:val="0"/>
          <w:marBottom w:val="0"/>
          <w:divBdr>
            <w:top w:val="none" w:sz="0" w:space="0" w:color="auto"/>
            <w:left w:val="none" w:sz="0" w:space="0" w:color="auto"/>
            <w:bottom w:val="none" w:sz="0" w:space="0" w:color="auto"/>
            <w:right w:val="none" w:sz="0" w:space="0" w:color="auto"/>
          </w:divBdr>
        </w:div>
        <w:div w:id="611594040">
          <w:marLeft w:val="111"/>
          <w:marRight w:val="0"/>
          <w:marTop w:val="0"/>
          <w:marBottom w:val="0"/>
          <w:divBdr>
            <w:top w:val="none" w:sz="0" w:space="0" w:color="auto"/>
            <w:left w:val="none" w:sz="0" w:space="0" w:color="auto"/>
            <w:bottom w:val="none" w:sz="0" w:space="0" w:color="auto"/>
            <w:right w:val="none" w:sz="0" w:space="0" w:color="auto"/>
          </w:divBdr>
        </w:div>
        <w:div w:id="248849161">
          <w:marLeft w:val="111"/>
          <w:marRight w:val="0"/>
          <w:marTop w:val="0"/>
          <w:marBottom w:val="0"/>
          <w:divBdr>
            <w:top w:val="none" w:sz="0" w:space="0" w:color="auto"/>
            <w:left w:val="none" w:sz="0" w:space="0" w:color="auto"/>
            <w:bottom w:val="none" w:sz="0" w:space="0" w:color="auto"/>
            <w:right w:val="none" w:sz="0" w:space="0" w:color="auto"/>
          </w:divBdr>
        </w:div>
        <w:div w:id="516652003">
          <w:marLeft w:val="111"/>
          <w:marRight w:val="0"/>
          <w:marTop w:val="0"/>
          <w:marBottom w:val="0"/>
          <w:divBdr>
            <w:top w:val="none" w:sz="0" w:space="0" w:color="auto"/>
            <w:left w:val="none" w:sz="0" w:space="0" w:color="auto"/>
            <w:bottom w:val="none" w:sz="0" w:space="0" w:color="auto"/>
            <w:right w:val="none" w:sz="0" w:space="0" w:color="auto"/>
          </w:divBdr>
        </w:div>
        <w:div w:id="1446539775">
          <w:marLeft w:val="111"/>
          <w:marRight w:val="0"/>
          <w:marTop w:val="0"/>
          <w:marBottom w:val="0"/>
          <w:divBdr>
            <w:top w:val="none" w:sz="0" w:space="0" w:color="auto"/>
            <w:left w:val="none" w:sz="0" w:space="0" w:color="auto"/>
            <w:bottom w:val="none" w:sz="0" w:space="0" w:color="auto"/>
            <w:right w:val="none" w:sz="0" w:space="0" w:color="auto"/>
          </w:divBdr>
        </w:div>
        <w:div w:id="1803377951">
          <w:marLeft w:val="111"/>
          <w:marRight w:val="0"/>
          <w:marTop w:val="0"/>
          <w:marBottom w:val="0"/>
          <w:divBdr>
            <w:top w:val="none" w:sz="0" w:space="0" w:color="auto"/>
            <w:left w:val="none" w:sz="0" w:space="0" w:color="auto"/>
            <w:bottom w:val="none" w:sz="0" w:space="0" w:color="auto"/>
            <w:right w:val="none" w:sz="0" w:space="0" w:color="auto"/>
          </w:divBdr>
        </w:div>
        <w:div w:id="553197411">
          <w:marLeft w:val="111"/>
          <w:marRight w:val="0"/>
          <w:marTop w:val="0"/>
          <w:marBottom w:val="0"/>
          <w:divBdr>
            <w:top w:val="none" w:sz="0" w:space="0" w:color="auto"/>
            <w:left w:val="none" w:sz="0" w:space="0" w:color="auto"/>
            <w:bottom w:val="none" w:sz="0" w:space="0" w:color="auto"/>
            <w:right w:val="none" w:sz="0" w:space="0" w:color="auto"/>
          </w:divBdr>
        </w:div>
        <w:div w:id="785730315">
          <w:marLeft w:val="111"/>
          <w:marRight w:val="0"/>
          <w:marTop w:val="0"/>
          <w:marBottom w:val="0"/>
          <w:divBdr>
            <w:top w:val="none" w:sz="0" w:space="0" w:color="auto"/>
            <w:left w:val="none" w:sz="0" w:space="0" w:color="auto"/>
            <w:bottom w:val="none" w:sz="0" w:space="0" w:color="auto"/>
            <w:right w:val="none" w:sz="0" w:space="0" w:color="auto"/>
          </w:divBdr>
        </w:div>
        <w:div w:id="1891572105">
          <w:marLeft w:val="111"/>
          <w:marRight w:val="0"/>
          <w:marTop w:val="0"/>
          <w:marBottom w:val="0"/>
          <w:divBdr>
            <w:top w:val="none" w:sz="0" w:space="0" w:color="auto"/>
            <w:left w:val="none" w:sz="0" w:space="0" w:color="auto"/>
            <w:bottom w:val="none" w:sz="0" w:space="0" w:color="auto"/>
            <w:right w:val="none" w:sz="0" w:space="0" w:color="auto"/>
          </w:divBdr>
        </w:div>
        <w:div w:id="433012568">
          <w:marLeft w:val="111"/>
          <w:marRight w:val="0"/>
          <w:marTop w:val="0"/>
          <w:marBottom w:val="0"/>
          <w:divBdr>
            <w:top w:val="none" w:sz="0" w:space="0" w:color="auto"/>
            <w:left w:val="none" w:sz="0" w:space="0" w:color="auto"/>
            <w:bottom w:val="none" w:sz="0" w:space="0" w:color="auto"/>
            <w:right w:val="none" w:sz="0" w:space="0" w:color="auto"/>
          </w:divBdr>
        </w:div>
        <w:div w:id="1081411450">
          <w:marLeft w:val="111"/>
          <w:marRight w:val="0"/>
          <w:marTop w:val="0"/>
          <w:marBottom w:val="0"/>
          <w:divBdr>
            <w:top w:val="none" w:sz="0" w:space="0" w:color="auto"/>
            <w:left w:val="none" w:sz="0" w:space="0" w:color="auto"/>
            <w:bottom w:val="none" w:sz="0" w:space="0" w:color="auto"/>
            <w:right w:val="none" w:sz="0" w:space="0" w:color="auto"/>
          </w:divBdr>
        </w:div>
        <w:div w:id="1561358526">
          <w:marLeft w:val="111"/>
          <w:marRight w:val="0"/>
          <w:marTop w:val="0"/>
          <w:marBottom w:val="0"/>
          <w:divBdr>
            <w:top w:val="none" w:sz="0" w:space="0" w:color="auto"/>
            <w:left w:val="none" w:sz="0" w:space="0" w:color="auto"/>
            <w:bottom w:val="none" w:sz="0" w:space="0" w:color="auto"/>
            <w:right w:val="none" w:sz="0" w:space="0" w:color="auto"/>
          </w:divBdr>
        </w:div>
        <w:div w:id="1623996390">
          <w:marLeft w:val="111"/>
          <w:marRight w:val="0"/>
          <w:marTop w:val="0"/>
          <w:marBottom w:val="0"/>
          <w:divBdr>
            <w:top w:val="none" w:sz="0" w:space="0" w:color="auto"/>
            <w:left w:val="none" w:sz="0" w:space="0" w:color="auto"/>
            <w:bottom w:val="none" w:sz="0" w:space="0" w:color="auto"/>
            <w:right w:val="none" w:sz="0" w:space="0" w:color="auto"/>
          </w:divBdr>
        </w:div>
        <w:div w:id="354886628">
          <w:marLeft w:val="111"/>
          <w:marRight w:val="0"/>
          <w:marTop w:val="0"/>
          <w:marBottom w:val="0"/>
          <w:divBdr>
            <w:top w:val="none" w:sz="0" w:space="0" w:color="auto"/>
            <w:left w:val="none" w:sz="0" w:space="0" w:color="auto"/>
            <w:bottom w:val="none" w:sz="0" w:space="0" w:color="auto"/>
            <w:right w:val="none" w:sz="0" w:space="0" w:color="auto"/>
          </w:divBdr>
        </w:div>
        <w:div w:id="50468730">
          <w:marLeft w:val="111"/>
          <w:marRight w:val="0"/>
          <w:marTop w:val="0"/>
          <w:marBottom w:val="0"/>
          <w:divBdr>
            <w:top w:val="none" w:sz="0" w:space="0" w:color="auto"/>
            <w:left w:val="none" w:sz="0" w:space="0" w:color="auto"/>
            <w:bottom w:val="none" w:sz="0" w:space="0" w:color="auto"/>
            <w:right w:val="none" w:sz="0" w:space="0" w:color="auto"/>
          </w:divBdr>
        </w:div>
        <w:div w:id="1072118691">
          <w:marLeft w:val="0"/>
          <w:marRight w:val="0"/>
          <w:marTop w:val="0"/>
          <w:marBottom w:val="0"/>
          <w:divBdr>
            <w:top w:val="none" w:sz="0" w:space="0" w:color="auto"/>
            <w:left w:val="none" w:sz="0" w:space="0" w:color="auto"/>
            <w:bottom w:val="none" w:sz="0" w:space="0" w:color="auto"/>
            <w:right w:val="none" w:sz="0" w:space="0" w:color="auto"/>
          </w:divBdr>
        </w:div>
        <w:div w:id="2041347158">
          <w:marLeft w:val="0"/>
          <w:marRight w:val="0"/>
          <w:marTop w:val="0"/>
          <w:marBottom w:val="0"/>
          <w:divBdr>
            <w:top w:val="none" w:sz="0" w:space="0" w:color="auto"/>
            <w:left w:val="none" w:sz="0" w:space="0" w:color="auto"/>
            <w:bottom w:val="none" w:sz="0" w:space="0" w:color="auto"/>
            <w:right w:val="none" w:sz="0" w:space="0" w:color="auto"/>
          </w:divBdr>
        </w:div>
        <w:div w:id="783420623">
          <w:marLeft w:val="111"/>
          <w:marRight w:val="0"/>
          <w:marTop w:val="0"/>
          <w:marBottom w:val="0"/>
          <w:divBdr>
            <w:top w:val="none" w:sz="0" w:space="0" w:color="auto"/>
            <w:left w:val="none" w:sz="0" w:space="0" w:color="auto"/>
            <w:bottom w:val="none" w:sz="0" w:space="0" w:color="auto"/>
            <w:right w:val="none" w:sz="0" w:space="0" w:color="auto"/>
          </w:divBdr>
        </w:div>
        <w:div w:id="1687974762">
          <w:marLeft w:val="111"/>
          <w:marRight w:val="0"/>
          <w:marTop w:val="0"/>
          <w:marBottom w:val="0"/>
          <w:divBdr>
            <w:top w:val="none" w:sz="0" w:space="0" w:color="auto"/>
            <w:left w:val="none" w:sz="0" w:space="0" w:color="auto"/>
            <w:bottom w:val="none" w:sz="0" w:space="0" w:color="auto"/>
            <w:right w:val="none" w:sz="0" w:space="0" w:color="auto"/>
          </w:divBdr>
        </w:div>
        <w:div w:id="1700887138">
          <w:marLeft w:val="111"/>
          <w:marRight w:val="0"/>
          <w:marTop w:val="0"/>
          <w:marBottom w:val="0"/>
          <w:divBdr>
            <w:top w:val="none" w:sz="0" w:space="0" w:color="auto"/>
            <w:left w:val="none" w:sz="0" w:space="0" w:color="auto"/>
            <w:bottom w:val="none" w:sz="0" w:space="0" w:color="auto"/>
            <w:right w:val="none" w:sz="0" w:space="0" w:color="auto"/>
          </w:divBdr>
        </w:div>
        <w:div w:id="484781403">
          <w:marLeft w:val="111"/>
          <w:marRight w:val="0"/>
          <w:marTop w:val="0"/>
          <w:marBottom w:val="0"/>
          <w:divBdr>
            <w:top w:val="none" w:sz="0" w:space="0" w:color="auto"/>
            <w:left w:val="none" w:sz="0" w:space="0" w:color="auto"/>
            <w:bottom w:val="none" w:sz="0" w:space="0" w:color="auto"/>
            <w:right w:val="none" w:sz="0" w:space="0" w:color="auto"/>
          </w:divBdr>
        </w:div>
        <w:div w:id="565841871">
          <w:marLeft w:val="111"/>
          <w:marRight w:val="0"/>
          <w:marTop w:val="0"/>
          <w:marBottom w:val="0"/>
          <w:divBdr>
            <w:top w:val="none" w:sz="0" w:space="0" w:color="auto"/>
            <w:left w:val="none" w:sz="0" w:space="0" w:color="auto"/>
            <w:bottom w:val="none" w:sz="0" w:space="0" w:color="auto"/>
            <w:right w:val="none" w:sz="0" w:space="0" w:color="auto"/>
          </w:divBdr>
        </w:div>
        <w:div w:id="2080668614">
          <w:marLeft w:val="111"/>
          <w:marRight w:val="0"/>
          <w:marTop w:val="0"/>
          <w:marBottom w:val="0"/>
          <w:divBdr>
            <w:top w:val="none" w:sz="0" w:space="0" w:color="auto"/>
            <w:left w:val="none" w:sz="0" w:space="0" w:color="auto"/>
            <w:bottom w:val="none" w:sz="0" w:space="0" w:color="auto"/>
            <w:right w:val="none" w:sz="0" w:space="0" w:color="auto"/>
          </w:divBdr>
        </w:div>
        <w:div w:id="2006005672">
          <w:marLeft w:val="0"/>
          <w:marRight w:val="0"/>
          <w:marTop w:val="0"/>
          <w:marBottom w:val="0"/>
          <w:divBdr>
            <w:top w:val="none" w:sz="0" w:space="0" w:color="auto"/>
            <w:left w:val="none" w:sz="0" w:space="0" w:color="auto"/>
            <w:bottom w:val="none" w:sz="0" w:space="0" w:color="auto"/>
            <w:right w:val="none" w:sz="0" w:space="0" w:color="auto"/>
          </w:divBdr>
        </w:div>
        <w:div w:id="872886979">
          <w:marLeft w:val="0"/>
          <w:marRight w:val="0"/>
          <w:marTop w:val="0"/>
          <w:marBottom w:val="0"/>
          <w:divBdr>
            <w:top w:val="none" w:sz="0" w:space="0" w:color="auto"/>
            <w:left w:val="none" w:sz="0" w:space="0" w:color="auto"/>
            <w:bottom w:val="none" w:sz="0" w:space="0" w:color="auto"/>
            <w:right w:val="none" w:sz="0" w:space="0" w:color="auto"/>
          </w:divBdr>
        </w:div>
        <w:div w:id="181210270">
          <w:marLeft w:val="0"/>
          <w:marRight w:val="0"/>
          <w:marTop w:val="152"/>
          <w:marBottom w:val="0"/>
          <w:divBdr>
            <w:top w:val="none" w:sz="0" w:space="0" w:color="auto"/>
            <w:left w:val="none" w:sz="0" w:space="0" w:color="auto"/>
            <w:bottom w:val="none" w:sz="0" w:space="0" w:color="auto"/>
            <w:right w:val="none" w:sz="0" w:space="0" w:color="auto"/>
          </w:divBdr>
        </w:div>
        <w:div w:id="231428101">
          <w:marLeft w:val="0"/>
          <w:marRight w:val="0"/>
          <w:marTop w:val="0"/>
          <w:marBottom w:val="0"/>
          <w:divBdr>
            <w:top w:val="none" w:sz="0" w:space="0" w:color="auto"/>
            <w:left w:val="none" w:sz="0" w:space="0" w:color="auto"/>
            <w:bottom w:val="none" w:sz="0" w:space="0" w:color="auto"/>
            <w:right w:val="none" w:sz="0" w:space="0" w:color="auto"/>
          </w:divBdr>
        </w:div>
        <w:div w:id="1571453816">
          <w:marLeft w:val="0"/>
          <w:marRight w:val="0"/>
          <w:marTop w:val="0"/>
          <w:marBottom w:val="0"/>
          <w:divBdr>
            <w:top w:val="none" w:sz="0" w:space="0" w:color="auto"/>
            <w:left w:val="none" w:sz="0" w:space="0" w:color="auto"/>
            <w:bottom w:val="none" w:sz="0" w:space="0" w:color="auto"/>
            <w:right w:val="none" w:sz="0" w:space="0" w:color="auto"/>
          </w:divBdr>
        </w:div>
        <w:div w:id="1742824144">
          <w:marLeft w:val="0"/>
          <w:marRight w:val="0"/>
          <w:marTop w:val="0"/>
          <w:marBottom w:val="0"/>
          <w:divBdr>
            <w:top w:val="none" w:sz="0" w:space="0" w:color="auto"/>
            <w:left w:val="none" w:sz="0" w:space="0" w:color="auto"/>
            <w:bottom w:val="none" w:sz="0" w:space="0" w:color="auto"/>
            <w:right w:val="none" w:sz="0" w:space="0" w:color="auto"/>
          </w:divBdr>
        </w:div>
        <w:div w:id="1507937164">
          <w:marLeft w:val="0"/>
          <w:marRight w:val="0"/>
          <w:marTop w:val="0"/>
          <w:marBottom w:val="0"/>
          <w:divBdr>
            <w:top w:val="none" w:sz="0" w:space="0" w:color="auto"/>
            <w:left w:val="none" w:sz="0" w:space="0" w:color="auto"/>
            <w:bottom w:val="none" w:sz="0" w:space="0" w:color="auto"/>
            <w:right w:val="none" w:sz="0" w:space="0" w:color="auto"/>
          </w:divBdr>
        </w:div>
        <w:div w:id="1582177949">
          <w:marLeft w:val="0"/>
          <w:marRight w:val="0"/>
          <w:marTop w:val="0"/>
          <w:marBottom w:val="0"/>
          <w:divBdr>
            <w:top w:val="none" w:sz="0" w:space="0" w:color="auto"/>
            <w:left w:val="none" w:sz="0" w:space="0" w:color="auto"/>
            <w:bottom w:val="none" w:sz="0" w:space="0" w:color="auto"/>
            <w:right w:val="none" w:sz="0" w:space="0" w:color="auto"/>
          </w:divBdr>
        </w:div>
        <w:div w:id="93405121">
          <w:marLeft w:val="0"/>
          <w:marRight w:val="0"/>
          <w:marTop w:val="0"/>
          <w:marBottom w:val="0"/>
          <w:divBdr>
            <w:top w:val="none" w:sz="0" w:space="0" w:color="auto"/>
            <w:left w:val="none" w:sz="0" w:space="0" w:color="auto"/>
            <w:bottom w:val="none" w:sz="0" w:space="0" w:color="auto"/>
            <w:right w:val="none" w:sz="0" w:space="0" w:color="auto"/>
          </w:divBdr>
        </w:div>
        <w:div w:id="1703095242">
          <w:marLeft w:val="0"/>
          <w:marRight w:val="0"/>
          <w:marTop w:val="152"/>
          <w:marBottom w:val="0"/>
          <w:divBdr>
            <w:top w:val="none" w:sz="0" w:space="0" w:color="auto"/>
            <w:left w:val="none" w:sz="0" w:space="0" w:color="auto"/>
            <w:bottom w:val="none" w:sz="0" w:space="0" w:color="auto"/>
            <w:right w:val="none" w:sz="0" w:space="0" w:color="auto"/>
          </w:divBdr>
        </w:div>
        <w:div w:id="1721051422">
          <w:marLeft w:val="0"/>
          <w:marRight w:val="0"/>
          <w:marTop w:val="0"/>
          <w:marBottom w:val="0"/>
          <w:divBdr>
            <w:top w:val="none" w:sz="0" w:space="0" w:color="auto"/>
            <w:left w:val="none" w:sz="0" w:space="0" w:color="auto"/>
            <w:bottom w:val="none" w:sz="0" w:space="0" w:color="auto"/>
            <w:right w:val="none" w:sz="0" w:space="0" w:color="auto"/>
          </w:divBdr>
        </w:div>
        <w:div w:id="10225397">
          <w:marLeft w:val="0"/>
          <w:marRight w:val="0"/>
          <w:marTop w:val="0"/>
          <w:marBottom w:val="0"/>
          <w:divBdr>
            <w:top w:val="none" w:sz="0" w:space="0" w:color="auto"/>
            <w:left w:val="none" w:sz="0" w:space="0" w:color="auto"/>
            <w:bottom w:val="none" w:sz="0" w:space="0" w:color="auto"/>
            <w:right w:val="none" w:sz="0" w:space="0" w:color="auto"/>
          </w:divBdr>
        </w:div>
        <w:div w:id="2106145867">
          <w:marLeft w:val="0"/>
          <w:marRight w:val="0"/>
          <w:marTop w:val="0"/>
          <w:marBottom w:val="0"/>
          <w:divBdr>
            <w:top w:val="none" w:sz="0" w:space="0" w:color="auto"/>
            <w:left w:val="none" w:sz="0" w:space="0" w:color="auto"/>
            <w:bottom w:val="none" w:sz="0" w:space="0" w:color="auto"/>
            <w:right w:val="none" w:sz="0" w:space="0" w:color="auto"/>
          </w:divBdr>
        </w:div>
        <w:div w:id="524634444">
          <w:marLeft w:val="0"/>
          <w:marRight w:val="0"/>
          <w:marTop w:val="0"/>
          <w:marBottom w:val="0"/>
          <w:divBdr>
            <w:top w:val="none" w:sz="0" w:space="0" w:color="auto"/>
            <w:left w:val="none" w:sz="0" w:space="0" w:color="auto"/>
            <w:bottom w:val="none" w:sz="0" w:space="0" w:color="auto"/>
            <w:right w:val="none" w:sz="0" w:space="0" w:color="auto"/>
          </w:divBdr>
        </w:div>
        <w:div w:id="261495340">
          <w:marLeft w:val="0"/>
          <w:marRight w:val="0"/>
          <w:marTop w:val="0"/>
          <w:marBottom w:val="0"/>
          <w:divBdr>
            <w:top w:val="none" w:sz="0" w:space="0" w:color="auto"/>
            <w:left w:val="none" w:sz="0" w:space="0" w:color="auto"/>
            <w:bottom w:val="none" w:sz="0" w:space="0" w:color="auto"/>
            <w:right w:val="none" w:sz="0" w:space="0" w:color="auto"/>
          </w:divBdr>
        </w:div>
        <w:div w:id="206919602">
          <w:marLeft w:val="0"/>
          <w:marRight w:val="0"/>
          <w:marTop w:val="0"/>
          <w:marBottom w:val="0"/>
          <w:divBdr>
            <w:top w:val="none" w:sz="0" w:space="0" w:color="auto"/>
            <w:left w:val="none" w:sz="0" w:space="0" w:color="auto"/>
            <w:bottom w:val="none" w:sz="0" w:space="0" w:color="auto"/>
            <w:right w:val="none" w:sz="0" w:space="0" w:color="auto"/>
          </w:divBdr>
        </w:div>
        <w:div w:id="1622758762">
          <w:marLeft w:val="0"/>
          <w:marRight w:val="0"/>
          <w:marTop w:val="0"/>
          <w:marBottom w:val="0"/>
          <w:divBdr>
            <w:top w:val="none" w:sz="0" w:space="0" w:color="auto"/>
            <w:left w:val="none" w:sz="0" w:space="0" w:color="auto"/>
            <w:bottom w:val="none" w:sz="0" w:space="0" w:color="auto"/>
            <w:right w:val="none" w:sz="0" w:space="0" w:color="auto"/>
          </w:divBdr>
        </w:div>
        <w:div w:id="1508331300">
          <w:marLeft w:val="0"/>
          <w:marRight w:val="0"/>
          <w:marTop w:val="0"/>
          <w:marBottom w:val="0"/>
          <w:divBdr>
            <w:top w:val="none" w:sz="0" w:space="0" w:color="auto"/>
            <w:left w:val="none" w:sz="0" w:space="0" w:color="auto"/>
            <w:bottom w:val="none" w:sz="0" w:space="0" w:color="auto"/>
            <w:right w:val="none" w:sz="0" w:space="0" w:color="auto"/>
          </w:divBdr>
        </w:div>
        <w:div w:id="1061833721">
          <w:marLeft w:val="0"/>
          <w:marRight w:val="0"/>
          <w:marTop w:val="0"/>
          <w:marBottom w:val="0"/>
          <w:divBdr>
            <w:top w:val="none" w:sz="0" w:space="0" w:color="auto"/>
            <w:left w:val="none" w:sz="0" w:space="0" w:color="auto"/>
            <w:bottom w:val="none" w:sz="0" w:space="0" w:color="auto"/>
            <w:right w:val="none" w:sz="0" w:space="0" w:color="auto"/>
          </w:divBdr>
        </w:div>
        <w:div w:id="786002781">
          <w:marLeft w:val="0"/>
          <w:marRight w:val="0"/>
          <w:marTop w:val="0"/>
          <w:marBottom w:val="0"/>
          <w:divBdr>
            <w:top w:val="none" w:sz="0" w:space="0" w:color="auto"/>
            <w:left w:val="none" w:sz="0" w:space="0" w:color="auto"/>
            <w:bottom w:val="none" w:sz="0" w:space="0" w:color="auto"/>
            <w:right w:val="none" w:sz="0" w:space="0" w:color="auto"/>
          </w:divBdr>
        </w:div>
        <w:div w:id="1666202081">
          <w:marLeft w:val="0"/>
          <w:marRight w:val="0"/>
          <w:marTop w:val="152"/>
          <w:marBottom w:val="152"/>
          <w:divBdr>
            <w:top w:val="none" w:sz="0" w:space="0" w:color="auto"/>
            <w:left w:val="none" w:sz="0" w:space="0" w:color="auto"/>
            <w:bottom w:val="none" w:sz="0" w:space="0" w:color="auto"/>
            <w:right w:val="none" w:sz="0" w:space="0" w:color="auto"/>
          </w:divBdr>
        </w:div>
        <w:div w:id="186062509">
          <w:marLeft w:val="0"/>
          <w:marRight w:val="0"/>
          <w:marTop w:val="0"/>
          <w:marBottom w:val="0"/>
          <w:divBdr>
            <w:top w:val="none" w:sz="0" w:space="0" w:color="auto"/>
            <w:left w:val="none" w:sz="0" w:space="0" w:color="auto"/>
            <w:bottom w:val="none" w:sz="0" w:space="0" w:color="auto"/>
            <w:right w:val="none" w:sz="0" w:space="0" w:color="auto"/>
          </w:divBdr>
        </w:div>
        <w:div w:id="1802259528">
          <w:marLeft w:val="0"/>
          <w:marRight w:val="0"/>
          <w:marTop w:val="0"/>
          <w:marBottom w:val="0"/>
          <w:divBdr>
            <w:top w:val="none" w:sz="0" w:space="0" w:color="auto"/>
            <w:left w:val="none" w:sz="0" w:space="0" w:color="auto"/>
            <w:bottom w:val="none" w:sz="0" w:space="0" w:color="auto"/>
            <w:right w:val="none" w:sz="0" w:space="0" w:color="auto"/>
          </w:divBdr>
        </w:div>
        <w:div w:id="155149925">
          <w:marLeft w:val="0"/>
          <w:marRight w:val="0"/>
          <w:marTop w:val="0"/>
          <w:marBottom w:val="0"/>
          <w:divBdr>
            <w:top w:val="none" w:sz="0" w:space="0" w:color="auto"/>
            <w:left w:val="none" w:sz="0" w:space="0" w:color="auto"/>
            <w:bottom w:val="none" w:sz="0" w:space="0" w:color="auto"/>
            <w:right w:val="none" w:sz="0" w:space="0" w:color="auto"/>
          </w:divBdr>
        </w:div>
        <w:div w:id="1624074535">
          <w:marLeft w:val="0"/>
          <w:marRight w:val="0"/>
          <w:marTop w:val="0"/>
          <w:marBottom w:val="0"/>
          <w:divBdr>
            <w:top w:val="none" w:sz="0" w:space="0" w:color="auto"/>
            <w:left w:val="none" w:sz="0" w:space="0" w:color="auto"/>
            <w:bottom w:val="none" w:sz="0" w:space="0" w:color="auto"/>
            <w:right w:val="none" w:sz="0" w:space="0" w:color="auto"/>
          </w:divBdr>
        </w:div>
        <w:div w:id="476650132">
          <w:marLeft w:val="0"/>
          <w:marRight w:val="0"/>
          <w:marTop w:val="0"/>
          <w:marBottom w:val="0"/>
          <w:divBdr>
            <w:top w:val="none" w:sz="0" w:space="0" w:color="auto"/>
            <w:left w:val="none" w:sz="0" w:space="0" w:color="auto"/>
            <w:bottom w:val="none" w:sz="0" w:space="0" w:color="auto"/>
            <w:right w:val="none" w:sz="0" w:space="0" w:color="auto"/>
          </w:divBdr>
        </w:div>
        <w:div w:id="1030450202">
          <w:marLeft w:val="0"/>
          <w:marRight w:val="0"/>
          <w:marTop w:val="0"/>
          <w:marBottom w:val="0"/>
          <w:divBdr>
            <w:top w:val="none" w:sz="0" w:space="0" w:color="auto"/>
            <w:left w:val="none" w:sz="0" w:space="0" w:color="auto"/>
            <w:bottom w:val="none" w:sz="0" w:space="0" w:color="auto"/>
            <w:right w:val="none" w:sz="0" w:space="0" w:color="auto"/>
          </w:divBdr>
        </w:div>
        <w:div w:id="980959974">
          <w:marLeft w:val="0"/>
          <w:marRight w:val="0"/>
          <w:marTop w:val="0"/>
          <w:marBottom w:val="0"/>
          <w:divBdr>
            <w:top w:val="none" w:sz="0" w:space="0" w:color="auto"/>
            <w:left w:val="none" w:sz="0" w:space="0" w:color="auto"/>
            <w:bottom w:val="none" w:sz="0" w:space="0" w:color="auto"/>
            <w:right w:val="none" w:sz="0" w:space="0" w:color="auto"/>
          </w:divBdr>
        </w:div>
        <w:div w:id="355347649">
          <w:marLeft w:val="0"/>
          <w:marRight w:val="0"/>
          <w:marTop w:val="0"/>
          <w:marBottom w:val="0"/>
          <w:divBdr>
            <w:top w:val="none" w:sz="0" w:space="0" w:color="auto"/>
            <w:left w:val="none" w:sz="0" w:space="0" w:color="auto"/>
            <w:bottom w:val="none" w:sz="0" w:space="0" w:color="auto"/>
            <w:right w:val="none" w:sz="0" w:space="0" w:color="auto"/>
          </w:divBdr>
        </w:div>
        <w:div w:id="1967931429">
          <w:marLeft w:val="0"/>
          <w:marRight w:val="0"/>
          <w:marTop w:val="0"/>
          <w:marBottom w:val="0"/>
          <w:divBdr>
            <w:top w:val="none" w:sz="0" w:space="0" w:color="auto"/>
            <w:left w:val="none" w:sz="0" w:space="0" w:color="auto"/>
            <w:bottom w:val="none" w:sz="0" w:space="0" w:color="auto"/>
            <w:right w:val="none" w:sz="0" w:space="0" w:color="auto"/>
          </w:divBdr>
        </w:div>
        <w:div w:id="1635866463">
          <w:marLeft w:val="0"/>
          <w:marRight w:val="0"/>
          <w:marTop w:val="0"/>
          <w:marBottom w:val="0"/>
          <w:divBdr>
            <w:top w:val="none" w:sz="0" w:space="0" w:color="auto"/>
            <w:left w:val="none" w:sz="0" w:space="0" w:color="auto"/>
            <w:bottom w:val="none" w:sz="0" w:space="0" w:color="auto"/>
            <w:right w:val="none" w:sz="0" w:space="0" w:color="auto"/>
          </w:divBdr>
        </w:div>
        <w:div w:id="2114203499">
          <w:marLeft w:val="0"/>
          <w:marRight w:val="0"/>
          <w:marTop w:val="0"/>
          <w:marBottom w:val="0"/>
          <w:divBdr>
            <w:top w:val="none" w:sz="0" w:space="0" w:color="auto"/>
            <w:left w:val="none" w:sz="0" w:space="0" w:color="auto"/>
            <w:bottom w:val="none" w:sz="0" w:space="0" w:color="auto"/>
            <w:right w:val="none" w:sz="0" w:space="0" w:color="auto"/>
          </w:divBdr>
        </w:div>
        <w:div w:id="833908839">
          <w:marLeft w:val="0"/>
          <w:marRight w:val="0"/>
          <w:marTop w:val="0"/>
          <w:marBottom w:val="0"/>
          <w:divBdr>
            <w:top w:val="none" w:sz="0" w:space="0" w:color="auto"/>
            <w:left w:val="none" w:sz="0" w:space="0" w:color="auto"/>
            <w:bottom w:val="none" w:sz="0" w:space="0" w:color="auto"/>
            <w:right w:val="none" w:sz="0" w:space="0" w:color="auto"/>
          </w:divBdr>
        </w:div>
        <w:div w:id="1540434193">
          <w:marLeft w:val="0"/>
          <w:marRight w:val="0"/>
          <w:marTop w:val="0"/>
          <w:marBottom w:val="0"/>
          <w:divBdr>
            <w:top w:val="none" w:sz="0" w:space="0" w:color="auto"/>
            <w:left w:val="none" w:sz="0" w:space="0" w:color="auto"/>
            <w:bottom w:val="none" w:sz="0" w:space="0" w:color="auto"/>
            <w:right w:val="none" w:sz="0" w:space="0" w:color="auto"/>
          </w:divBdr>
        </w:div>
        <w:div w:id="2038849489">
          <w:marLeft w:val="0"/>
          <w:marRight w:val="0"/>
          <w:marTop w:val="0"/>
          <w:marBottom w:val="0"/>
          <w:divBdr>
            <w:top w:val="none" w:sz="0" w:space="0" w:color="auto"/>
            <w:left w:val="none" w:sz="0" w:space="0" w:color="auto"/>
            <w:bottom w:val="none" w:sz="0" w:space="0" w:color="auto"/>
            <w:right w:val="none" w:sz="0" w:space="0" w:color="auto"/>
          </w:divBdr>
        </w:div>
        <w:div w:id="1811093918">
          <w:marLeft w:val="0"/>
          <w:marRight w:val="0"/>
          <w:marTop w:val="0"/>
          <w:marBottom w:val="0"/>
          <w:divBdr>
            <w:top w:val="none" w:sz="0" w:space="0" w:color="auto"/>
            <w:left w:val="none" w:sz="0" w:space="0" w:color="auto"/>
            <w:bottom w:val="none" w:sz="0" w:space="0" w:color="auto"/>
            <w:right w:val="none" w:sz="0" w:space="0" w:color="auto"/>
          </w:divBdr>
        </w:div>
        <w:div w:id="1063602560">
          <w:marLeft w:val="0"/>
          <w:marRight w:val="0"/>
          <w:marTop w:val="0"/>
          <w:marBottom w:val="0"/>
          <w:divBdr>
            <w:top w:val="none" w:sz="0" w:space="0" w:color="auto"/>
            <w:left w:val="none" w:sz="0" w:space="0" w:color="auto"/>
            <w:bottom w:val="none" w:sz="0" w:space="0" w:color="auto"/>
            <w:right w:val="none" w:sz="0" w:space="0" w:color="auto"/>
          </w:divBdr>
        </w:div>
        <w:div w:id="1052117576">
          <w:marLeft w:val="0"/>
          <w:marRight w:val="0"/>
          <w:marTop w:val="0"/>
          <w:marBottom w:val="0"/>
          <w:divBdr>
            <w:top w:val="none" w:sz="0" w:space="0" w:color="auto"/>
            <w:left w:val="none" w:sz="0" w:space="0" w:color="auto"/>
            <w:bottom w:val="none" w:sz="0" w:space="0" w:color="auto"/>
            <w:right w:val="none" w:sz="0" w:space="0" w:color="auto"/>
          </w:divBdr>
        </w:div>
        <w:div w:id="2071462112">
          <w:marLeft w:val="0"/>
          <w:marRight w:val="0"/>
          <w:marTop w:val="91"/>
          <w:marBottom w:val="0"/>
          <w:divBdr>
            <w:top w:val="none" w:sz="0" w:space="0" w:color="auto"/>
            <w:left w:val="none" w:sz="0" w:space="0" w:color="auto"/>
            <w:bottom w:val="none" w:sz="0" w:space="0" w:color="auto"/>
            <w:right w:val="none" w:sz="0" w:space="0" w:color="auto"/>
          </w:divBdr>
        </w:div>
        <w:div w:id="143006479">
          <w:marLeft w:val="0"/>
          <w:marRight w:val="0"/>
          <w:marTop w:val="0"/>
          <w:marBottom w:val="0"/>
          <w:divBdr>
            <w:top w:val="none" w:sz="0" w:space="0" w:color="auto"/>
            <w:left w:val="none" w:sz="0" w:space="0" w:color="auto"/>
            <w:bottom w:val="none" w:sz="0" w:space="0" w:color="auto"/>
            <w:right w:val="none" w:sz="0" w:space="0" w:color="auto"/>
          </w:divBdr>
        </w:div>
        <w:div w:id="751658499">
          <w:marLeft w:val="0"/>
          <w:marRight w:val="0"/>
          <w:marTop w:val="0"/>
          <w:marBottom w:val="0"/>
          <w:divBdr>
            <w:top w:val="none" w:sz="0" w:space="0" w:color="auto"/>
            <w:left w:val="none" w:sz="0" w:space="0" w:color="auto"/>
            <w:bottom w:val="none" w:sz="0" w:space="0" w:color="auto"/>
            <w:right w:val="none" w:sz="0" w:space="0" w:color="auto"/>
          </w:divBdr>
        </w:div>
        <w:div w:id="599222993">
          <w:marLeft w:val="0"/>
          <w:marRight w:val="0"/>
          <w:marTop w:val="0"/>
          <w:marBottom w:val="0"/>
          <w:divBdr>
            <w:top w:val="none" w:sz="0" w:space="0" w:color="auto"/>
            <w:left w:val="none" w:sz="0" w:space="0" w:color="auto"/>
            <w:bottom w:val="none" w:sz="0" w:space="0" w:color="auto"/>
            <w:right w:val="none" w:sz="0" w:space="0" w:color="auto"/>
          </w:divBdr>
        </w:div>
        <w:div w:id="2008633811">
          <w:marLeft w:val="0"/>
          <w:marRight w:val="0"/>
          <w:marTop w:val="0"/>
          <w:marBottom w:val="0"/>
          <w:divBdr>
            <w:top w:val="none" w:sz="0" w:space="0" w:color="auto"/>
            <w:left w:val="none" w:sz="0" w:space="0" w:color="auto"/>
            <w:bottom w:val="none" w:sz="0" w:space="0" w:color="auto"/>
            <w:right w:val="none" w:sz="0" w:space="0" w:color="auto"/>
          </w:divBdr>
        </w:div>
        <w:div w:id="884026761">
          <w:marLeft w:val="0"/>
          <w:marRight w:val="0"/>
          <w:marTop w:val="0"/>
          <w:marBottom w:val="0"/>
          <w:divBdr>
            <w:top w:val="none" w:sz="0" w:space="0" w:color="auto"/>
            <w:left w:val="none" w:sz="0" w:space="0" w:color="auto"/>
            <w:bottom w:val="none" w:sz="0" w:space="0" w:color="auto"/>
            <w:right w:val="none" w:sz="0" w:space="0" w:color="auto"/>
          </w:divBdr>
        </w:div>
        <w:div w:id="100882326">
          <w:marLeft w:val="0"/>
          <w:marRight w:val="0"/>
          <w:marTop w:val="0"/>
          <w:marBottom w:val="0"/>
          <w:divBdr>
            <w:top w:val="none" w:sz="0" w:space="0" w:color="auto"/>
            <w:left w:val="none" w:sz="0" w:space="0" w:color="auto"/>
            <w:bottom w:val="none" w:sz="0" w:space="0" w:color="auto"/>
            <w:right w:val="none" w:sz="0" w:space="0" w:color="auto"/>
          </w:divBdr>
        </w:div>
        <w:div w:id="979308059">
          <w:marLeft w:val="0"/>
          <w:marRight w:val="0"/>
          <w:marTop w:val="0"/>
          <w:marBottom w:val="0"/>
          <w:divBdr>
            <w:top w:val="none" w:sz="0" w:space="0" w:color="auto"/>
            <w:left w:val="none" w:sz="0" w:space="0" w:color="auto"/>
            <w:bottom w:val="none" w:sz="0" w:space="0" w:color="auto"/>
            <w:right w:val="none" w:sz="0" w:space="0" w:color="auto"/>
          </w:divBdr>
        </w:div>
        <w:div w:id="451247634">
          <w:marLeft w:val="0"/>
          <w:marRight w:val="0"/>
          <w:marTop w:val="152"/>
          <w:marBottom w:val="0"/>
          <w:divBdr>
            <w:top w:val="none" w:sz="0" w:space="0" w:color="auto"/>
            <w:left w:val="none" w:sz="0" w:space="0" w:color="auto"/>
            <w:bottom w:val="none" w:sz="0" w:space="0" w:color="auto"/>
            <w:right w:val="none" w:sz="0" w:space="0" w:color="auto"/>
          </w:divBdr>
        </w:div>
        <w:div w:id="463892323">
          <w:marLeft w:val="0"/>
          <w:marRight w:val="0"/>
          <w:marTop w:val="152"/>
          <w:marBottom w:val="0"/>
          <w:divBdr>
            <w:top w:val="none" w:sz="0" w:space="0" w:color="auto"/>
            <w:left w:val="none" w:sz="0" w:space="0" w:color="auto"/>
            <w:bottom w:val="none" w:sz="0" w:space="0" w:color="auto"/>
            <w:right w:val="none" w:sz="0" w:space="0" w:color="auto"/>
          </w:divBdr>
        </w:div>
        <w:div w:id="1442723642">
          <w:marLeft w:val="0"/>
          <w:marRight w:val="0"/>
          <w:marTop w:val="152"/>
          <w:marBottom w:val="152"/>
          <w:divBdr>
            <w:top w:val="none" w:sz="0" w:space="0" w:color="auto"/>
            <w:left w:val="none" w:sz="0" w:space="0" w:color="auto"/>
            <w:bottom w:val="none" w:sz="0" w:space="0" w:color="auto"/>
            <w:right w:val="none" w:sz="0" w:space="0" w:color="auto"/>
          </w:divBdr>
        </w:div>
        <w:div w:id="1210654702">
          <w:marLeft w:val="0"/>
          <w:marRight w:val="0"/>
          <w:marTop w:val="0"/>
          <w:marBottom w:val="0"/>
          <w:divBdr>
            <w:top w:val="none" w:sz="0" w:space="0" w:color="auto"/>
            <w:left w:val="none" w:sz="0" w:space="0" w:color="auto"/>
            <w:bottom w:val="none" w:sz="0" w:space="0" w:color="auto"/>
            <w:right w:val="none" w:sz="0" w:space="0" w:color="auto"/>
          </w:divBdr>
        </w:div>
        <w:div w:id="209925167">
          <w:marLeft w:val="0"/>
          <w:marRight w:val="0"/>
          <w:marTop w:val="0"/>
          <w:marBottom w:val="0"/>
          <w:divBdr>
            <w:top w:val="none" w:sz="0" w:space="0" w:color="auto"/>
            <w:left w:val="none" w:sz="0" w:space="0" w:color="auto"/>
            <w:bottom w:val="none" w:sz="0" w:space="0" w:color="auto"/>
            <w:right w:val="none" w:sz="0" w:space="0" w:color="auto"/>
          </w:divBdr>
        </w:div>
        <w:div w:id="60107072">
          <w:marLeft w:val="0"/>
          <w:marRight w:val="0"/>
          <w:marTop w:val="152"/>
          <w:marBottom w:val="0"/>
          <w:divBdr>
            <w:top w:val="none" w:sz="0" w:space="0" w:color="auto"/>
            <w:left w:val="none" w:sz="0" w:space="0" w:color="auto"/>
            <w:bottom w:val="none" w:sz="0" w:space="0" w:color="auto"/>
            <w:right w:val="none" w:sz="0" w:space="0" w:color="auto"/>
          </w:divBdr>
        </w:div>
        <w:div w:id="199249306">
          <w:marLeft w:val="0"/>
          <w:marRight w:val="0"/>
          <w:marTop w:val="152"/>
          <w:marBottom w:val="0"/>
          <w:divBdr>
            <w:top w:val="none" w:sz="0" w:space="0" w:color="auto"/>
            <w:left w:val="none" w:sz="0" w:space="0" w:color="auto"/>
            <w:bottom w:val="none" w:sz="0" w:space="0" w:color="auto"/>
            <w:right w:val="none" w:sz="0" w:space="0" w:color="auto"/>
          </w:divBdr>
        </w:div>
        <w:div w:id="662389810">
          <w:marLeft w:val="0"/>
          <w:marRight w:val="0"/>
          <w:marTop w:val="0"/>
          <w:marBottom w:val="0"/>
          <w:divBdr>
            <w:top w:val="none" w:sz="0" w:space="0" w:color="auto"/>
            <w:left w:val="none" w:sz="0" w:space="0" w:color="auto"/>
            <w:bottom w:val="none" w:sz="0" w:space="0" w:color="auto"/>
            <w:right w:val="none" w:sz="0" w:space="0" w:color="auto"/>
          </w:divBdr>
        </w:div>
        <w:div w:id="1214148579">
          <w:marLeft w:val="0"/>
          <w:marRight w:val="0"/>
          <w:marTop w:val="0"/>
          <w:marBottom w:val="0"/>
          <w:divBdr>
            <w:top w:val="none" w:sz="0" w:space="0" w:color="auto"/>
            <w:left w:val="none" w:sz="0" w:space="0" w:color="auto"/>
            <w:bottom w:val="none" w:sz="0" w:space="0" w:color="auto"/>
            <w:right w:val="none" w:sz="0" w:space="0" w:color="auto"/>
          </w:divBdr>
        </w:div>
        <w:div w:id="48768163">
          <w:marLeft w:val="0"/>
          <w:marRight w:val="0"/>
          <w:marTop w:val="0"/>
          <w:marBottom w:val="0"/>
          <w:divBdr>
            <w:top w:val="none" w:sz="0" w:space="0" w:color="auto"/>
            <w:left w:val="none" w:sz="0" w:space="0" w:color="auto"/>
            <w:bottom w:val="none" w:sz="0" w:space="0" w:color="auto"/>
            <w:right w:val="none" w:sz="0" w:space="0" w:color="auto"/>
          </w:divBdr>
        </w:div>
        <w:div w:id="122509149">
          <w:marLeft w:val="0"/>
          <w:marRight w:val="0"/>
          <w:marTop w:val="0"/>
          <w:marBottom w:val="0"/>
          <w:divBdr>
            <w:top w:val="none" w:sz="0" w:space="0" w:color="auto"/>
            <w:left w:val="none" w:sz="0" w:space="0" w:color="auto"/>
            <w:bottom w:val="none" w:sz="0" w:space="0" w:color="auto"/>
            <w:right w:val="none" w:sz="0" w:space="0" w:color="auto"/>
          </w:divBdr>
        </w:div>
        <w:div w:id="940187537">
          <w:marLeft w:val="0"/>
          <w:marRight w:val="0"/>
          <w:marTop w:val="0"/>
          <w:marBottom w:val="0"/>
          <w:divBdr>
            <w:top w:val="none" w:sz="0" w:space="0" w:color="auto"/>
            <w:left w:val="none" w:sz="0" w:space="0" w:color="auto"/>
            <w:bottom w:val="none" w:sz="0" w:space="0" w:color="auto"/>
            <w:right w:val="none" w:sz="0" w:space="0" w:color="auto"/>
          </w:divBdr>
        </w:div>
        <w:div w:id="64378534">
          <w:marLeft w:val="0"/>
          <w:marRight w:val="0"/>
          <w:marTop w:val="0"/>
          <w:marBottom w:val="0"/>
          <w:divBdr>
            <w:top w:val="none" w:sz="0" w:space="0" w:color="auto"/>
            <w:left w:val="none" w:sz="0" w:space="0" w:color="auto"/>
            <w:bottom w:val="none" w:sz="0" w:space="0" w:color="auto"/>
            <w:right w:val="none" w:sz="0" w:space="0" w:color="auto"/>
          </w:divBdr>
        </w:div>
        <w:div w:id="1050693575">
          <w:marLeft w:val="0"/>
          <w:marRight w:val="0"/>
          <w:marTop w:val="152"/>
          <w:marBottom w:val="0"/>
          <w:divBdr>
            <w:top w:val="none" w:sz="0" w:space="0" w:color="auto"/>
            <w:left w:val="none" w:sz="0" w:space="0" w:color="auto"/>
            <w:bottom w:val="none" w:sz="0" w:space="0" w:color="auto"/>
            <w:right w:val="none" w:sz="0" w:space="0" w:color="auto"/>
          </w:divBdr>
        </w:div>
        <w:div w:id="786239293">
          <w:marLeft w:val="0"/>
          <w:marRight w:val="0"/>
          <w:marTop w:val="0"/>
          <w:marBottom w:val="152"/>
          <w:divBdr>
            <w:top w:val="none" w:sz="0" w:space="0" w:color="auto"/>
            <w:left w:val="none" w:sz="0" w:space="0" w:color="auto"/>
            <w:bottom w:val="none" w:sz="0" w:space="0" w:color="auto"/>
            <w:right w:val="none" w:sz="0" w:space="0" w:color="auto"/>
          </w:divBdr>
        </w:div>
        <w:div w:id="779951561">
          <w:marLeft w:val="0"/>
          <w:marRight w:val="0"/>
          <w:marTop w:val="0"/>
          <w:marBottom w:val="0"/>
          <w:divBdr>
            <w:top w:val="none" w:sz="0" w:space="0" w:color="auto"/>
            <w:left w:val="none" w:sz="0" w:space="0" w:color="auto"/>
            <w:bottom w:val="none" w:sz="0" w:space="0" w:color="auto"/>
            <w:right w:val="none" w:sz="0" w:space="0" w:color="auto"/>
          </w:divBdr>
        </w:div>
        <w:div w:id="936673197">
          <w:marLeft w:val="0"/>
          <w:marRight w:val="0"/>
          <w:marTop w:val="0"/>
          <w:marBottom w:val="0"/>
          <w:divBdr>
            <w:top w:val="none" w:sz="0" w:space="0" w:color="auto"/>
            <w:left w:val="none" w:sz="0" w:space="0" w:color="auto"/>
            <w:bottom w:val="none" w:sz="0" w:space="0" w:color="auto"/>
            <w:right w:val="none" w:sz="0" w:space="0" w:color="auto"/>
          </w:divBdr>
        </w:div>
        <w:div w:id="803543920">
          <w:marLeft w:val="0"/>
          <w:marRight w:val="0"/>
          <w:marTop w:val="0"/>
          <w:marBottom w:val="0"/>
          <w:divBdr>
            <w:top w:val="none" w:sz="0" w:space="0" w:color="auto"/>
            <w:left w:val="none" w:sz="0" w:space="0" w:color="auto"/>
            <w:bottom w:val="none" w:sz="0" w:space="0" w:color="auto"/>
            <w:right w:val="none" w:sz="0" w:space="0" w:color="auto"/>
          </w:divBdr>
        </w:div>
        <w:div w:id="398597954">
          <w:marLeft w:val="0"/>
          <w:marRight w:val="0"/>
          <w:marTop w:val="0"/>
          <w:marBottom w:val="0"/>
          <w:divBdr>
            <w:top w:val="none" w:sz="0" w:space="0" w:color="auto"/>
            <w:left w:val="none" w:sz="0" w:space="0" w:color="auto"/>
            <w:bottom w:val="none" w:sz="0" w:space="0" w:color="auto"/>
            <w:right w:val="none" w:sz="0" w:space="0" w:color="auto"/>
          </w:divBdr>
        </w:div>
        <w:div w:id="892011111">
          <w:marLeft w:val="0"/>
          <w:marRight w:val="0"/>
          <w:marTop w:val="0"/>
          <w:marBottom w:val="0"/>
          <w:divBdr>
            <w:top w:val="none" w:sz="0" w:space="0" w:color="auto"/>
            <w:left w:val="none" w:sz="0" w:space="0" w:color="auto"/>
            <w:bottom w:val="none" w:sz="0" w:space="0" w:color="auto"/>
            <w:right w:val="none" w:sz="0" w:space="0" w:color="auto"/>
          </w:divBdr>
        </w:div>
        <w:div w:id="886181527">
          <w:marLeft w:val="0"/>
          <w:marRight w:val="0"/>
          <w:marTop w:val="304"/>
          <w:marBottom w:val="0"/>
          <w:divBdr>
            <w:top w:val="none" w:sz="0" w:space="0" w:color="auto"/>
            <w:left w:val="none" w:sz="0" w:space="0" w:color="auto"/>
            <w:bottom w:val="none" w:sz="0" w:space="0" w:color="auto"/>
            <w:right w:val="none" w:sz="0" w:space="0" w:color="auto"/>
          </w:divBdr>
        </w:div>
        <w:div w:id="1392844731">
          <w:marLeft w:val="0"/>
          <w:marRight w:val="0"/>
          <w:marTop w:val="152"/>
          <w:marBottom w:val="0"/>
          <w:divBdr>
            <w:top w:val="none" w:sz="0" w:space="0" w:color="auto"/>
            <w:left w:val="none" w:sz="0" w:space="0" w:color="auto"/>
            <w:bottom w:val="none" w:sz="0" w:space="0" w:color="auto"/>
            <w:right w:val="none" w:sz="0" w:space="0" w:color="auto"/>
          </w:divBdr>
        </w:div>
        <w:div w:id="1587759824">
          <w:marLeft w:val="0"/>
          <w:marRight w:val="0"/>
          <w:marTop w:val="152"/>
          <w:marBottom w:val="152"/>
          <w:divBdr>
            <w:top w:val="none" w:sz="0" w:space="0" w:color="auto"/>
            <w:left w:val="none" w:sz="0" w:space="0" w:color="auto"/>
            <w:bottom w:val="none" w:sz="0" w:space="0" w:color="auto"/>
            <w:right w:val="none" w:sz="0" w:space="0" w:color="auto"/>
          </w:divBdr>
        </w:div>
        <w:div w:id="981275401">
          <w:marLeft w:val="0"/>
          <w:marRight w:val="0"/>
          <w:marTop w:val="0"/>
          <w:marBottom w:val="0"/>
          <w:divBdr>
            <w:top w:val="none" w:sz="0" w:space="0" w:color="auto"/>
            <w:left w:val="none" w:sz="0" w:space="0" w:color="auto"/>
            <w:bottom w:val="none" w:sz="0" w:space="0" w:color="auto"/>
            <w:right w:val="none" w:sz="0" w:space="0" w:color="auto"/>
          </w:divBdr>
        </w:div>
        <w:div w:id="1237864080">
          <w:marLeft w:val="0"/>
          <w:marRight w:val="0"/>
          <w:marTop w:val="0"/>
          <w:marBottom w:val="0"/>
          <w:divBdr>
            <w:top w:val="none" w:sz="0" w:space="0" w:color="auto"/>
            <w:left w:val="none" w:sz="0" w:space="0" w:color="auto"/>
            <w:bottom w:val="none" w:sz="0" w:space="0" w:color="auto"/>
            <w:right w:val="none" w:sz="0" w:space="0" w:color="auto"/>
          </w:divBdr>
        </w:div>
        <w:div w:id="2017878413">
          <w:marLeft w:val="0"/>
          <w:marRight w:val="0"/>
          <w:marTop w:val="0"/>
          <w:marBottom w:val="0"/>
          <w:divBdr>
            <w:top w:val="none" w:sz="0" w:space="0" w:color="auto"/>
            <w:left w:val="none" w:sz="0" w:space="0" w:color="auto"/>
            <w:bottom w:val="none" w:sz="0" w:space="0" w:color="auto"/>
            <w:right w:val="none" w:sz="0" w:space="0" w:color="auto"/>
          </w:divBdr>
        </w:div>
        <w:div w:id="347562151">
          <w:marLeft w:val="0"/>
          <w:marRight w:val="0"/>
          <w:marTop w:val="0"/>
          <w:marBottom w:val="0"/>
          <w:divBdr>
            <w:top w:val="none" w:sz="0" w:space="0" w:color="auto"/>
            <w:left w:val="none" w:sz="0" w:space="0" w:color="auto"/>
            <w:bottom w:val="none" w:sz="0" w:space="0" w:color="auto"/>
            <w:right w:val="none" w:sz="0" w:space="0" w:color="auto"/>
          </w:divBdr>
        </w:div>
        <w:div w:id="379866328">
          <w:marLeft w:val="0"/>
          <w:marRight w:val="0"/>
          <w:marTop w:val="0"/>
          <w:marBottom w:val="0"/>
          <w:divBdr>
            <w:top w:val="none" w:sz="0" w:space="0" w:color="auto"/>
            <w:left w:val="none" w:sz="0" w:space="0" w:color="auto"/>
            <w:bottom w:val="none" w:sz="0" w:space="0" w:color="auto"/>
            <w:right w:val="none" w:sz="0" w:space="0" w:color="auto"/>
          </w:divBdr>
        </w:div>
        <w:div w:id="671568137">
          <w:marLeft w:val="0"/>
          <w:marRight w:val="0"/>
          <w:marTop w:val="0"/>
          <w:marBottom w:val="0"/>
          <w:divBdr>
            <w:top w:val="none" w:sz="0" w:space="0" w:color="auto"/>
            <w:left w:val="none" w:sz="0" w:space="0" w:color="auto"/>
            <w:bottom w:val="none" w:sz="0" w:space="0" w:color="auto"/>
            <w:right w:val="none" w:sz="0" w:space="0" w:color="auto"/>
          </w:divBdr>
        </w:div>
        <w:div w:id="1531407140">
          <w:marLeft w:val="0"/>
          <w:marRight w:val="0"/>
          <w:marTop w:val="0"/>
          <w:marBottom w:val="0"/>
          <w:divBdr>
            <w:top w:val="none" w:sz="0" w:space="0" w:color="auto"/>
            <w:left w:val="none" w:sz="0" w:space="0" w:color="auto"/>
            <w:bottom w:val="none" w:sz="0" w:space="0" w:color="auto"/>
            <w:right w:val="none" w:sz="0" w:space="0" w:color="auto"/>
          </w:divBdr>
        </w:div>
        <w:div w:id="2020349802">
          <w:marLeft w:val="0"/>
          <w:marRight w:val="0"/>
          <w:marTop w:val="0"/>
          <w:marBottom w:val="0"/>
          <w:divBdr>
            <w:top w:val="none" w:sz="0" w:space="0" w:color="auto"/>
            <w:left w:val="none" w:sz="0" w:space="0" w:color="auto"/>
            <w:bottom w:val="none" w:sz="0" w:space="0" w:color="auto"/>
            <w:right w:val="none" w:sz="0" w:space="0" w:color="auto"/>
          </w:divBdr>
        </w:div>
        <w:div w:id="1101681561">
          <w:marLeft w:val="0"/>
          <w:marRight w:val="0"/>
          <w:marTop w:val="304"/>
          <w:marBottom w:val="0"/>
          <w:divBdr>
            <w:top w:val="none" w:sz="0" w:space="0" w:color="auto"/>
            <w:left w:val="none" w:sz="0" w:space="0" w:color="auto"/>
            <w:bottom w:val="none" w:sz="0" w:space="0" w:color="auto"/>
            <w:right w:val="none" w:sz="0" w:space="0" w:color="auto"/>
          </w:divBdr>
        </w:div>
        <w:div w:id="896402146">
          <w:marLeft w:val="0"/>
          <w:marRight w:val="0"/>
          <w:marTop w:val="152"/>
          <w:marBottom w:val="0"/>
          <w:divBdr>
            <w:top w:val="none" w:sz="0" w:space="0" w:color="auto"/>
            <w:left w:val="none" w:sz="0" w:space="0" w:color="auto"/>
            <w:bottom w:val="none" w:sz="0" w:space="0" w:color="auto"/>
            <w:right w:val="none" w:sz="0" w:space="0" w:color="auto"/>
          </w:divBdr>
        </w:div>
        <w:div w:id="251358607">
          <w:marLeft w:val="0"/>
          <w:marRight w:val="0"/>
          <w:marTop w:val="0"/>
          <w:marBottom w:val="0"/>
          <w:divBdr>
            <w:top w:val="none" w:sz="0" w:space="0" w:color="auto"/>
            <w:left w:val="none" w:sz="0" w:space="0" w:color="auto"/>
            <w:bottom w:val="none" w:sz="0" w:space="0" w:color="auto"/>
            <w:right w:val="none" w:sz="0" w:space="0" w:color="auto"/>
          </w:divBdr>
        </w:div>
        <w:div w:id="840782138">
          <w:marLeft w:val="0"/>
          <w:marRight w:val="0"/>
          <w:marTop w:val="152"/>
          <w:marBottom w:val="0"/>
          <w:divBdr>
            <w:top w:val="none" w:sz="0" w:space="0" w:color="auto"/>
            <w:left w:val="none" w:sz="0" w:space="0" w:color="auto"/>
            <w:bottom w:val="none" w:sz="0" w:space="0" w:color="auto"/>
            <w:right w:val="none" w:sz="0" w:space="0" w:color="auto"/>
          </w:divBdr>
        </w:div>
        <w:div w:id="1237475532">
          <w:marLeft w:val="0"/>
          <w:marRight w:val="0"/>
          <w:marTop w:val="152"/>
          <w:marBottom w:val="152"/>
          <w:divBdr>
            <w:top w:val="none" w:sz="0" w:space="0" w:color="auto"/>
            <w:left w:val="none" w:sz="0" w:space="0" w:color="auto"/>
            <w:bottom w:val="none" w:sz="0" w:space="0" w:color="auto"/>
            <w:right w:val="none" w:sz="0" w:space="0" w:color="auto"/>
          </w:divBdr>
        </w:div>
        <w:div w:id="312221874">
          <w:marLeft w:val="0"/>
          <w:marRight w:val="0"/>
          <w:marTop w:val="0"/>
          <w:marBottom w:val="0"/>
          <w:divBdr>
            <w:top w:val="none" w:sz="0" w:space="0" w:color="auto"/>
            <w:left w:val="none" w:sz="0" w:space="0" w:color="auto"/>
            <w:bottom w:val="none" w:sz="0" w:space="0" w:color="auto"/>
            <w:right w:val="none" w:sz="0" w:space="0" w:color="auto"/>
          </w:divBdr>
        </w:div>
        <w:div w:id="1747025689">
          <w:marLeft w:val="0"/>
          <w:marRight w:val="0"/>
          <w:marTop w:val="0"/>
          <w:marBottom w:val="0"/>
          <w:divBdr>
            <w:top w:val="none" w:sz="0" w:space="0" w:color="auto"/>
            <w:left w:val="none" w:sz="0" w:space="0" w:color="auto"/>
            <w:bottom w:val="none" w:sz="0" w:space="0" w:color="auto"/>
            <w:right w:val="none" w:sz="0" w:space="0" w:color="auto"/>
          </w:divBdr>
        </w:div>
        <w:div w:id="524709891">
          <w:marLeft w:val="0"/>
          <w:marRight w:val="0"/>
          <w:marTop w:val="0"/>
          <w:marBottom w:val="0"/>
          <w:divBdr>
            <w:top w:val="none" w:sz="0" w:space="0" w:color="auto"/>
            <w:left w:val="none" w:sz="0" w:space="0" w:color="auto"/>
            <w:bottom w:val="none" w:sz="0" w:space="0" w:color="auto"/>
            <w:right w:val="none" w:sz="0" w:space="0" w:color="auto"/>
          </w:divBdr>
        </w:div>
        <w:div w:id="1277446221">
          <w:marLeft w:val="0"/>
          <w:marRight w:val="0"/>
          <w:marTop w:val="0"/>
          <w:marBottom w:val="0"/>
          <w:divBdr>
            <w:top w:val="none" w:sz="0" w:space="0" w:color="auto"/>
            <w:left w:val="none" w:sz="0" w:space="0" w:color="auto"/>
            <w:bottom w:val="none" w:sz="0" w:space="0" w:color="auto"/>
            <w:right w:val="none" w:sz="0" w:space="0" w:color="auto"/>
          </w:divBdr>
        </w:div>
        <w:div w:id="1474906537">
          <w:marLeft w:val="0"/>
          <w:marRight w:val="0"/>
          <w:marTop w:val="152"/>
          <w:marBottom w:val="0"/>
          <w:divBdr>
            <w:top w:val="none" w:sz="0" w:space="0" w:color="auto"/>
            <w:left w:val="none" w:sz="0" w:space="0" w:color="auto"/>
            <w:bottom w:val="none" w:sz="0" w:space="0" w:color="auto"/>
            <w:right w:val="none" w:sz="0" w:space="0" w:color="auto"/>
          </w:divBdr>
        </w:div>
        <w:div w:id="140657229">
          <w:marLeft w:val="0"/>
          <w:marRight w:val="0"/>
          <w:marTop w:val="0"/>
          <w:marBottom w:val="0"/>
          <w:divBdr>
            <w:top w:val="none" w:sz="0" w:space="0" w:color="auto"/>
            <w:left w:val="none" w:sz="0" w:space="0" w:color="auto"/>
            <w:bottom w:val="none" w:sz="0" w:space="0" w:color="auto"/>
            <w:right w:val="none" w:sz="0" w:space="0" w:color="auto"/>
          </w:divBdr>
        </w:div>
        <w:div w:id="809396426">
          <w:marLeft w:val="0"/>
          <w:marRight w:val="0"/>
          <w:marTop w:val="152"/>
          <w:marBottom w:val="0"/>
          <w:divBdr>
            <w:top w:val="none" w:sz="0" w:space="0" w:color="auto"/>
            <w:left w:val="none" w:sz="0" w:space="0" w:color="auto"/>
            <w:bottom w:val="none" w:sz="0" w:space="0" w:color="auto"/>
            <w:right w:val="none" w:sz="0" w:space="0" w:color="auto"/>
          </w:divBdr>
        </w:div>
        <w:div w:id="798034467">
          <w:marLeft w:val="0"/>
          <w:marRight w:val="0"/>
          <w:marTop w:val="0"/>
          <w:marBottom w:val="0"/>
          <w:divBdr>
            <w:top w:val="none" w:sz="0" w:space="0" w:color="auto"/>
            <w:left w:val="none" w:sz="0" w:space="0" w:color="auto"/>
            <w:bottom w:val="none" w:sz="0" w:space="0" w:color="auto"/>
            <w:right w:val="none" w:sz="0" w:space="0" w:color="auto"/>
          </w:divBdr>
        </w:div>
        <w:div w:id="1958826279">
          <w:marLeft w:val="0"/>
          <w:marRight w:val="0"/>
          <w:marTop w:val="152"/>
          <w:marBottom w:val="0"/>
          <w:divBdr>
            <w:top w:val="none" w:sz="0" w:space="0" w:color="auto"/>
            <w:left w:val="none" w:sz="0" w:space="0" w:color="auto"/>
            <w:bottom w:val="none" w:sz="0" w:space="0" w:color="auto"/>
            <w:right w:val="none" w:sz="0" w:space="0" w:color="auto"/>
          </w:divBdr>
        </w:div>
        <w:div w:id="1736736051">
          <w:marLeft w:val="0"/>
          <w:marRight w:val="0"/>
          <w:marTop w:val="0"/>
          <w:marBottom w:val="0"/>
          <w:divBdr>
            <w:top w:val="none" w:sz="0" w:space="0" w:color="auto"/>
            <w:left w:val="none" w:sz="0" w:space="0" w:color="auto"/>
            <w:bottom w:val="none" w:sz="0" w:space="0" w:color="auto"/>
            <w:right w:val="none" w:sz="0" w:space="0" w:color="auto"/>
          </w:divBdr>
        </w:div>
        <w:div w:id="732460397">
          <w:marLeft w:val="0"/>
          <w:marRight w:val="0"/>
          <w:marTop w:val="304"/>
          <w:marBottom w:val="0"/>
          <w:divBdr>
            <w:top w:val="none" w:sz="0" w:space="0" w:color="auto"/>
            <w:left w:val="none" w:sz="0" w:space="0" w:color="auto"/>
            <w:bottom w:val="none" w:sz="0" w:space="0" w:color="auto"/>
            <w:right w:val="none" w:sz="0" w:space="0" w:color="auto"/>
          </w:divBdr>
        </w:div>
        <w:div w:id="6055978">
          <w:marLeft w:val="0"/>
          <w:marRight w:val="0"/>
          <w:marTop w:val="0"/>
          <w:marBottom w:val="0"/>
          <w:divBdr>
            <w:top w:val="none" w:sz="0" w:space="0" w:color="auto"/>
            <w:left w:val="none" w:sz="0" w:space="0" w:color="auto"/>
            <w:bottom w:val="none" w:sz="0" w:space="0" w:color="auto"/>
            <w:right w:val="none" w:sz="0" w:space="0" w:color="auto"/>
          </w:divBdr>
        </w:div>
        <w:div w:id="760181925">
          <w:marLeft w:val="0"/>
          <w:marRight w:val="0"/>
          <w:marTop w:val="152"/>
          <w:marBottom w:val="0"/>
          <w:divBdr>
            <w:top w:val="none" w:sz="0" w:space="0" w:color="auto"/>
            <w:left w:val="none" w:sz="0" w:space="0" w:color="auto"/>
            <w:bottom w:val="none" w:sz="0" w:space="0" w:color="auto"/>
            <w:right w:val="none" w:sz="0" w:space="0" w:color="auto"/>
          </w:divBdr>
        </w:div>
        <w:div w:id="374081036">
          <w:marLeft w:val="0"/>
          <w:marRight w:val="0"/>
          <w:marTop w:val="152"/>
          <w:marBottom w:val="0"/>
          <w:divBdr>
            <w:top w:val="none" w:sz="0" w:space="0" w:color="auto"/>
            <w:left w:val="none" w:sz="0" w:space="0" w:color="auto"/>
            <w:bottom w:val="none" w:sz="0" w:space="0" w:color="auto"/>
            <w:right w:val="none" w:sz="0" w:space="0" w:color="auto"/>
          </w:divBdr>
        </w:div>
        <w:div w:id="133107687">
          <w:marLeft w:val="0"/>
          <w:marRight w:val="0"/>
          <w:marTop w:val="152"/>
          <w:marBottom w:val="0"/>
          <w:divBdr>
            <w:top w:val="none" w:sz="0" w:space="0" w:color="auto"/>
            <w:left w:val="none" w:sz="0" w:space="0" w:color="auto"/>
            <w:bottom w:val="none" w:sz="0" w:space="0" w:color="auto"/>
            <w:right w:val="none" w:sz="0" w:space="0" w:color="auto"/>
          </w:divBdr>
        </w:div>
        <w:div w:id="606163330">
          <w:marLeft w:val="0"/>
          <w:marRight w:val="0"/>
          <w:marTop w:val="152"/>
          <w:marBottom w:val="0"/>
          <w:divBdr>
            <w:top w:val="none" w:sz="0" w:space="0" w:color="auto"/>
            <w:left w:val="none" w:sz="0" w:space="0" w:color="auto"/>
            <w:bottom w:val="none" w:sz="0" w:space="0" w:color="auto"/>
            <w:right w:val="none" w:sz="0" w:space="0" w:color="auto"/>
          </w:divBdr>
        </w:div>
        <w:div w:id="2125072310">
          <w:marLeft w:val="0"/>
          <w:marRight w:val="0"/>
          <w:marTop w:val="152"/>
          <w:marBottom w:val="152"/>
          <w:divBdr>
            <w:top w:val="none" w:sz="0" w:space="0" w:color="auto"/>
            <w:left w:val="none" w:sz="0" w:space="0" w:color="auto"/>
            <w:bottom w:val="none" w:sz="0" w:space="0" w:color="auto"/>
            <w:right w:val="none" w:sz="0" w:space="0" w:color="auto"/>
          </w:divBdr>
        </w:div>
        <w:div w:id="1247227817">
          <w:marLeft w:val="0"/>
          <w:marRight w:val="0"/>
          <w:marTop w:val="0"/>
          <w:marBottom w:val="0"/>
          <w:divBdr>
            <w:top w:val="none" w:sz="0" w:space="0" w:color="auto"/>
            <w:left w:val="none" w:sz="0" w:space="0" w:color="auto"/>
            <w:bottom w:val="none" w:sz="0" w:space="0" w:color="auto"/>
            <w:right w:val="none" w:sz="0" w:space="0" w:color="auto"/>
          </w:divBdr>
        </w:div>
        <w:div w:id="1938370670">
          <w:marLeft w:val="0"/>
          <w:marRight w:val="0"/>
          <w:marTop w:val="0"/>
          <w:marBottom w:val="0"/>
          <w:divBdr>
            <w:top w:val="none" w:sz="0" w:space="0" w:color="auto"/>
            <w:left w:val="none" w:sz="0" w:space="0" w:color="auto"/>
            <w:bottom w:val="none" w:sz="0" w:space="0" w:color="auto"/>
            <w:right w:val="none" w:sz="0" w:space="0" w:color="auto"/>
          </w:divBdr>
        </w:div>
        <w:div w:id="249849626">
          <w:marLeft w:val="0"/>
          <w:marRight w:val="0"/>
          <w:marTop w:val="0"/>
          <w:marBottom w:val="0"/>
          <w:divBdr>
            <w:top w:val="none" w:sz="0" w:space="0" w:color="auto"/>
            <w:left w:val="none" w:sz="0" w:space="0" w:color="auto"/>
            <w:bottom w:val="none" w:sz="0" w:space="0" w:color="auto"/>
            <w:right w:val="none" w:sz="0" w:space="0" w:color="auto"/>
          </w:divBdr>
        </w:div>
        <w:div w:id="154994850">
          <w:marLeft w:val="0"/>
          <w:marRight w:val="0"/>
          <w:marTop w:val="304"/>
          <w:marBottom w:val="0"/>
          <w:divBdr>
            <w:top w:val="none" w:sz="0" w:space="0" w:color="auto"/>
            <w:left w:val="none" w:sz="0" w:space="0" w:color="auto"/>
            <w:bottom w:val="none" w:sz="0" w:space="0" w:color="auto"/>
            <w:right w:val="none" w:sz="0" w:space="0" w:color="auto"/>
          </w:divBdr>
        </w:div>
        <w:div w:id="876626393">
          <w:marLeft w:val="0"/>
          <w:marRight w:val="0"/>
          <w:marTop w:val="0"/>
          <w:marBottom w:val="0"/>
          <w:divBdr>
            <w:top w:val="none" w:sz="0" w:space="0" w:color="auto"/>
            <w:left w:val="none" w:sz="0" w:space="0" w:color="auto"/>
            <w:bottom w:val="none" w:sz="0" w:space="0" w:color="auto"/>
            <w:right w:val="none" w:sz="0" w:space="0" w:color="auto"/>
          </w:divBdr>
        </w:div>
        <w:div w:id="1243905722">
          <w:marLeft w:val="0"/>
          <w:marRight w:val="0"/>
          <w:marTop w:val="152"/>
          <w:marBottom w:val="0"/>
          <w:divBdr>
            <w:top w:val="none" w:sz="0" w:space="0" w:color="auto"/>
            <w:left w:val="none" w:sz="0" w:space="0" w:color="auto"/>
            <w:bottom w:val="none" w:sz="0" w:space="0" w:color="auto"/>
            <w:right w:val="none" w:sz="0" w:space="0" w:color="auto"/>
          </w:divBdr>
        </w:div>
        <w:div w:id="1436830293">
          <w:marLeft w:val="0"/>
          <w:marRight w:val="0"/>
          <w:marTop w:val="152"/>
          <w:marBottom w:val="0"/>
          <w:divBdr>
            <w:top w:val="none" w:sz="0" w:space="0" w:color="auto"/>
            <w:left w:val="none" w:sz="0" w:space="0" w:color="auto"/>
            <w:bottom w:val="none" w:sz="0" w:space="0" w:color="auto"/>
            <w:right w:val="none" w:sz="0" w:space="0" w:color="auto"/>
          </w:divBdr>
        </w:div>
        <w:div w:id="1223639333">
          <w:marLeft w:val="0"/>
          <w:marRight w:val="0"/>
          <w:marTop w:val="152"/>
          <w:marBottom w:val="0"/>
          <w:divBdr>
            <w:top w:val="none" w:sz="0" w:space="0" w:color="auto"/>
            <w:left w:val="none" w:sz="0" w:space="0" w:color="auto"/>
            <w:bottom w:val="none" w:sz="0" w:space="0" w:color="auto"/>
            <w:right w:val="none" w:sz="0" w:space="0" w:color="auto"/>
          </w:divBdr>
        </w:div>
        <w:div w:id="1230845873">
          <w:marLeft w:val="0"/>
          <w:marRight w:val="0"/>
          <w:marTop w:val="0"/>
          <w:marBottom w:val="0"/>
          <w:divBdr>
            <w:top w:val="none" w:sz="0" w:space="0" w:color="auto"/>
            <w:left w:val="none" w:sz="0" w:space="0" w:color="auto"/>
            <w:bottom w:val="none" w:sz="0" w:space="0" w:color="auto"/>
            <w:right w:val="none" w:sz="0" w:space="0" w:color="auto"/>
          </w:divBdr>
        </w:div>
        <w:div w:id="169217293">
          <w:marLeft w:val="0"/>
          <w:marRight w:val="0"/>
          <w:marTop w:val="91"/>
          <w:marBottom w:val="0"/>
          <w:divBdr>
            <w:top w:val="none" w:sz="0" w:space="0" w:color="auto"/>
            <w:left w:val="none" w:sz="0" w:space="0" w:color="auto"/>
            <w:bottom w:val="none" w:sz="0" w:space="0" w:color="auto"/>
            <w:right w:val="none" w:sz="0" w:space="0" w:color="auto"/>
          </w:divBdr>
        </w:div>
        <w:div w:id="1066145854">
          <w:marLeft w:val="0"/>
          <w:marRight w:val="0"/>
          <w:marTop w:val="0"/>
          <w:marBottom w:val="0"/>
          <w:divBdr>
            <w:top w:val="none" w:sz="0" w:space="0" w:color="auto"/>
            <w:left w:val="none" w:sz="0" w:space="0" w:color="auto"/>
            <w:bottom w:val="none" w:sz="0" w:space="0" w:color="auto"/>
            <w:right w:val="none" w:sz="0" w:space="0" w:color="auto"/>
          </w:divBdr>
        </w:div>
        <w:div w:id="283538640">
          <w:marLeft w:val="0"/>
          <w:marRight w:val="0"/>
          <w:marTop w:val="152"/>
          <w:marBottom w:val="0"/>
          <w:divBdr>
            <w:top w:val="none" w:sz="0" w:space="0" w:color="auto"/>
            <w:left w:val="none" w:sz="0" w:space="0" w:color="auto"/>
            <w:bottom w:val="none" w:sz="0" w:space="0" w:color="auto"/>
            <w:right w:val="none" w:sz="0" w:space="0" w:color="auto"/>
          </w:divBdr>
        </w:div>
        <w:div w:id="138962604">
          <w:marLeft w:val="0"/>
          <w:marRight w:val="0"/>
          <w:marTop w:val="0"/>
          <w:marBottom w:val="0"/>
          <w:divBdr>
            <w:top w:val="none" w:sz="0" w:space="0" w:color="auto"/>
            <w:left w:val="none" w:sz="0" w:space="0" w:color="auto"/>
            <w:bottom w:val="none" w:sz="0" w:space="0" w:color="auto"/>
            <w:right w:val="none" w:sz="0" w:space="0" w:color="auto"/>
          </w:divBdr>
        </w:div>
        <w:div w:id="2133590526">
          <w:marLeft w:val="0"/>
          <w:marRight w:val="0"/>
          <w:marTop w:val="152"/>
          <w:marBottom w:val="0"/>
          <w:divBdr>
            <w:top w:val="none" w:sz="0" w:space="0" w:color="auto"/>
            <w:left w:val="none" w:sz="0" w:space="0" w:color="auto"/>
            <w:bottom w:val="none" w:sz="0" w:space="0" w:color="auto"/>
            <w:right w:val="none" w:sz="0" w:space="0" w:color="auto"/>
          </w:divBdr>
        </w:div>
        <w:div w:id="1708527426">
          <w:marLeft w:val="0"/>
          <w:marRight w:val="0"/>
          <w:marTop w:val="0"/>
          <w:marBottom w:val="0"/>
          <w:divBdr>
            <w:top w:val="none" w:sz="0" w:space="0" w:color="auto"/>
            <w:left w:val="none" w:sz="0" w:space="0" w:color="auto"/>
            <w:bottom w:val="none" w:sz="0" w:space="0" w:color="auto"/>
            <w:right w:val="none" w:sz="0" w:space="0" w:color="auto"/>
          </w:divBdr>
        </w:div>
        <w:div w:id="1559126372">
          <w:marLeft w:val="0"/>
          <w:marRight w:val="0"/>
          <w:marTop w:val="0"/>
          <w:marBottom w:val="0"/>
          <w:divBdr>
            <w:top w:val="none" w:sz="0" w:space="0" w:color="auto"/>
            <w:left w:val="none" w:sz="0" w:space="0" w:color="auto"/>
            <w:bottom w:val="none" w:sz="0" w:space="0" w:color="auto"/>
            <w:right w:val="none" w:sz="0" w:space="0" w:color="auto"/>
          </w:divBdr>
        </w:div>
        <w:div w:id="1534271524">
          <w:marLeft w:val="0"/>
          <w:marRight w:val="0"/>
          <w:marTop w:val="152"/>
          <w:marBottom w:val="152"/>
          <w:divBdr>
            <w:top w:val="none" w:sz="0" w:space="0" w:color="auto"/>
            <w:left w:val="none" w:sz="0" w:space="0" w:color="auto"/>
            <w:bottom w:val="none" w:sz="0" w:space="0" w:color="auto"/>
            <w:right w:val="none" w:sz="0" w:space="0" w:color="auto"/>
          </w:divBdr>
        </w:div>
        <w:div w:id="96799282">
          <w:marLeft w:val="0"/>
          <w:marRight w:val="0"/>
          <w:marTop w:val="0"/>
          <w:marBottom w:val="0"/>
          <w:divBdr>
            <w:top w:val="none" w:sz="0" w:space="0" w:color="auto"/>
            <w:left w:val="none" w:sz="0" w:space="0" w:color="auto"/>
            <w:bottom w:val="none" w:sz="0" w:space="0" w:color="auto"/>
            <w:right w:val="none" w:sz="0" w:space="0" w:color="auto"/>
          </w:divBdr>
        </w:div>
        <w:div w:id="767233391">
          <w:marLeft w:val="0"/>
          <w:marRight w:val="0"/>
          <w:marTop w:val="152"/>
          <w:marBottom w:val="0"/>
          <w:divBdr>
            <w:top w:val="none" w:sz="0" w:space="0" w:color="auto"/>
            <w:left w:val="none" w:sz="0" w:space="0" w:color="auto"/>
            <w:bottom w:val="none" w:sz="0" w:space="0" w:color="auto"/>
            <w:right w:val="none" w:sz="0" w:space="0" w:color="auto"/>
          </w:divBdr>
        </w:div>
        <w:div w:id="1824198520">
          <w:marLeft w:val="0"/>
          <w:marRight w:val="0"/>
          <w:marTop w:val="0"/>
          <w:marBottom w:val="0"/>
          <w:divBdr>
            <w:top w:val="none" w:sz="0" w:space="0" w:color="auto"/>
            <w:left w:val="none" w:sz="0" w:space="0" w:color="auto"/>
            <w:bottom w:val="none" w:sz="0" w:space="0" w:color="auto"/>
            <w:right w:val="none" w:sz="0" w:space="0" w:color="auto"/>
          </w:divBdr>
        </w:div>
        <w:div w:id="1954631526">
          <w:marLeft w:val="0"/>
          <w:marRight w:val="0"/>
          <w:marTop w:val="0"/>
          <w:marBottom w:val="0"/>
          <w:divBdr>
            <w:top w:val="none" w:sz="0" w:space="0" w:color="auto"/>
            <w:left w:val="none" w:sz="0" w:space="0" w:color="auto"/>
            <w:bottom w:val="none" w:sz="0" w:space="0" w:color="auto"/>
            <w:right w:val="none" w:sz="0" w:space="0" w:color="auto"/>
          </w:divBdr>
        </w:div>
        <w:div w:id="563488771">
          <w:marLeft w:val="0"/>
          <w:marRight w:val="0"/>
          <w:marTop w:val="0"/>
          <w:marBottom w:val="0"/>
          <w:divBdr>
            <w:top w:val="none" w:sz="0" w:space="0" w:color="auto"/>
            <w:left w:val="none" w:sz="0" w:space="0" w:color="auto"/>
            <w:bottom w:val="none" w:sz="0" w:space="0" w:color="auto"/>
            <w:right w:val="none" w:sz="0" w:space="0" w:color="auto"/>
          </w:divBdr>
        </w:div>
        <w:div w:id="243761065">
          <w:marLeft w:val="0"/>
          <w:marRight w:val="0"/>
          <w:marTop w:val="0"/>
          <w:marBottom w:val="0"/>
          <w:divBdr>
            <w:top w:val="none" w:sz="0" w:space="0" w:color="auto"/>
            <w:left w:val="none" w:sz="0" w:space="0" w:color="auto"/>
            <w:bottom w:val="none" w:sz="0" w:space="0" w:color="auto"/>
            <w:right w:val="none" w:sz="0" w:space="0" w:color="auto"/>
          </w:divBdr>
        </w:div>
        <w:div w:id="580602474">
          <w:marLeft w:val="0"/>
          <w:marRight w:val="0"/>
          <w:marTop w:val="0"/>
          <w:marBottom w:val="0"/>
          <w:divBdr>
            <w:top w:val="none" w:sz="0" w:space="0" w:color="auto"/>
            <w:left w:val="none" w:sz="0" w:space="0" w:color="auto"/>
            <w:bottom w:val="none" w:sz="0" w:space="0" w:color="auto"/>
            <w:right w:val="none" w:sz="0" w:space="0" w:color="auto"/>
          </w:divBdr>
        </w:div>
        <w:div w:id="1344819796">
          <w:marLeft w:val="0"/>
          <w:marRight w:val="0"/>
          <w:marTop w:val="0"/>
          <w:marBottom w:val="0"/>
          <w:divBdr>
            <w:top w:val="none" w:sz="0" w:space="0" w:color="auto"/>
            <w:left w:val="none" w:sz="0" w:space="0" w:color="auto"/>
            <w:bottom w:val="none" w:sz="0" w:space="0" w:color="auto"/>
            <w:right w:val="none" w:sz="0" w:space="0" w:color="auto"/>
          </w:divBdr>
        </w:div>
        <w:div w:id="2075737278">
          <w:marLeft w:val="0"/>
          <w:marRight w:val="0"/>
          <w:marTop w:val="0"/>
          <w:marBottom w:val="0"/>
          <w:divBdr>
            <w:top w:val="none" w:sz="0" w:space="0" w:color="auto"/>
            <w:left w:val="none" w:sz="0" w:space="0" w:color="auto"/>
            <w:bottom w:val="none" w:sz="0" w:space="0" w:color="auto"/>
            <w:right w:val="none" w:sz="0" w:space="0" w:color="auto"/>
          </w:divBdr>
        </w:div>
        <w:div w:id="1844591305">
          <w:marLeft w:val="0"/>
          <w:marRight w:val="0"/>
          <w:marTop w:val="0"/>
          <w:marBottom w:val="0"/>
          <w:divBdr>
            <w:top w:val="none" w:sz="0" w:space="0" w:color="auto"/>
            <w:left w:val="none" w:sz="0" w:space="0" w:color="auto"/>
            <w:bottom w:val="none" w:sz="0" w:space="0" w:color="auto"/>
            <w:right w:val="none" w:sz="0" w:space="0" w:color="auto"/>
          </w:divBdr>
        </w:div>
        <w:div w:id="1017003270">
          <w:marLeft w:val="0"/>
          <w:marRight w:val="0"/>
          <w:marTop w:val="0"/>
          <w:marBottom w:val="0"/>
          <w:divBdr>
            <w:top w:val="none" w:sz="0" w:space="0" w:color="auto"/>
            <w:left w:val="none" w:sz="0" w:space="0" w:color="auto"/>
            <w:bottom w:val="none" w:sz="0" w:space="0" w:color="auto"/>
            <w:right w:val="none" w:sz="0" w:space="0" w:color="auto"/>
          </w:divBdr>
        </w:div>
        <w:div w:id="917522809">
          <w:marLeft w:val="0"/>
          <w:marRight w:val="0"/>
          <w:marTop w:val="0"/>
          <w:marBottom w:val="0"/>
          <w:divBdr>
            <w:top w:val="none" w:sz="0" w:space="0" w:color="auto"/>
            <w:left w:val="none" w:sz="0" w:space="0" w:color="auto"/>
            <w:bottom w:val="none" w:sz="0" w:space="0" w:color="auto"/>
            <w:right w:val="none" w:sz="0" w:space="0" w:color="auto"/>
          </w:divBdr>
        </w:div>
        <w:div w:id="1417828278">
          <w:marLeft w:val="0"/>
          <w:marRight w:val="0"/>
          <w:marTop w:val="0"/>
          <w:marBottom w:val="0"/>
          <w:divBdr>
            <w:top w:val="none" w:sz="0" w:space="0" w:color="auto"/>
            <w:left w:val="none" w:sz="0" w:space="0" w:color="auto"/>
            <w:bottom w:val="none" w:sz="0" w:space="0" w:color="auto"/>
            <w:right w:val="none" w:sz="0" w:space="0" w:color="auto"/>
          </w:divBdr>
        </w:div>
        <w:div w:id="280037334">
          <w:marLeft w:val="0"/>
          <w:marRight w:val="0"/>
          <w:marTop w:val="0"/>
          <w:marBottom w:val="0"/>
          <w:divBdr>
            <w:top w:val="none" w:sz="0" w:space="0" w:color="auto"/>
            <w:left w:val="none" w:sz="0" w:space="0" w:color="auto"/>
            <w:bottom w:val="none" w:sz="0" w:space="0" w:color="auto"/>
            <w:right w:val="none" w:sz="0" w:space="0" w:color="auto"/>
          </w:divBdr>
        </w:div>
        <w:div w:id="917908860">
          <w:marLeft w:val="0"/>
          <w:marRight w:val="0"/>
          <w:marTop w:val="0"/>
          <w:marBottom w:val="0"/>
          <w:divBdr>
            <w:top w:val="none" w:sz="0" w:space="0" w:color="auto"/>
            <w:left w:val="none" w:sz="0" w:space="0" w:color="auto"/>
            <w:bottom w:val="none" w:sz="0" w:space="0" w:color="auto"/>
            <w:right w:val="none" w:sz="0" w:space="0" w:color="auto"/>
          </w:divBdr>
        </w:div>
        <w:div w:id="236132562">
          <w:marLeft w:val="0"/>
          <w:marRight w:val="0"/>
          <w:marTop w:val="0"/>
          <w:marBottom w:val="0"/>
          <w:divBdr>
            <w:top w:val="none" w:sz="0" w:space="0" w:color="auto"/>
            <w:left w:val="none" w:sz="0" w:space="0" w:color="auto"/>
            <w:bottom w:val="none" w:sz="0" w:space="0" w:color="auto"/>
            <w:right w:val="none" w:sz="0" w:space="0" w:color="auto"/>
          </w:divBdr>
        </w:div>
        <w:div w:id="798064566">
          <w:marLeft w:val="0"/>
          <w:marRight w:val="0"/>
          <w:marTop w:val="0"/>
          <w:marBottom w:val="0"/>
          <w:divBdr>
            <w:top w:val="none" w:sz="0" w:space="0" w:color="auto"/>
            <w:left w:val="none" w:sz="0" w:space="0" w:color="auto"/>
            <w:bottom w:val="none" w:sz="0" w:space="0" w:color="auto"/>
            <w:right w:val="none" w:sz="0" w:space="0" w:color="auto"/>
          </w:divBdr>
        </w:div>
        <w:div w:id="330838754">
          <w:marLeft w:val="0"/>
          <w:marRight w:val="0"/>
          <w:marTop w:val="0"/>
          <w:marBottom w:val="0"/>
          <w:divBdr>
            <w:top w:val="none" w:sz="0" w:space="0" w:color="auto"/>
            <w:left w:val="none" w:sz="0" w:space="0" w:color="auto"/>
            <w:bottom w:val="none" w:sz="0" w:space="0" w:color="auto"/>
            <w:right w:val="none" w:sz="0" w:space="0" w:color="auto"/>
          </w:divBdr>
        </w:div>
        <w:div w:id="478154817">
          <w:marLeft w:val="0"/>
          <w:marRight w:val="0"/>
          <w:marTop w:val="0"/>
          <w:marBottom w:val="0"/>
          <w:divBdr>
            <w:top w:val="none" w:sz="0" w:space="0" w:color="auto"/>
            <w:left w:val="none" w:sz="0" w:space="0" w:color="auto"/>
            <w:bottom w:val="none" w:sz="0" w:space="0" w:color="auto"/>
            <w:right w:val="none" w:sz="0" w:space="0" w:color="auto"/>
          </w:divBdr>
        </w:div>
        <w:div w:id="461189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3126</Words>
  <Characters>17822</Characters>
  <Application>Microsoft Office Word</Application>
  <DocSecurity>0</DocSecurity>
  <Lines>148</Lines>
  <Paragraphs>41</Paragraphs>
  <ScaleCrop>false</ScaleCrop>
  <Company>Sky123.Org</Company>
  <LinksUpToDate>false</LinksUpToDate>
  <CharactersWithSpaces>20907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2016-11-30T03:40:00Z</dcterms:created>
  <dcterms:modified xsi:type="dcterms:W3CDTF">2016-11-30T03:45:00Z</dcterms:modified>
</cp:coreProperties>
</file>