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rPr>
          <w:rFonts w:hint="eastAsia" w:ascii="Arial" w:hAnsi="Arial" w:cs="Arial"/>
          <w:b/>
          <w:color w:val="666666"/>
          <w:sz w:val="27"/>
          <w:szCs w:val="27"/>
        </w:rPr>
      </w:pPr>
      <w:bookmarkStart w:id="1" w:name="_GoBack"/>
      <w:r>
        <w:rPr>
          <w:rFonts w:hint="default" w:ascii="Arial" w:hAnsi="Arial" w:cs="Arial"/>
          <w:b/>
          <w:color w:val="666666"/>
          <w:sz w:val="27"/>
          <w:szCs w:val="27"/>
        </w:rPr>
        <w:t>安徽省人民政府办公厅关于印发“十三五”安徽省老龄事业发展和养老体系建设规划的通知</w:t>
      </w:r>
    </w:p>
    <w:bookmarkEnd w:id="1"/>
    <w:p>
      <w:pPr>
        <w:keepNext w:val="0"/>
        <w:keepLines w:val="0"/>
        <w:widowControl/>
        <w:suppressLineNumbers w:val="0"/>
        <w:jc w:val="left"/>
      </w:pPr>
      <w:r>
        <w:rPr>
          <w:rFonts w:ascii="宋体" w:hAnsi="宋体" w:eastAsia="宋体" w:cs="宋体"/>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2"/>
        <w:jc w:val="center"/>
      </w:pPr>
      <w:r>
        <w:rPr>
          <w:rFonts w:hint="eastAsia" w:ascii="宋体" w:hAnsi="宋体" w:eastAsia="宋体" w:cs="宋体"/>
          <w:b/>
          <w:color w:val="333333"/>
          <w:kern w:val="0"/>
          <w:sz w:val="24"/>
          <w:szCs w:val="24"/>
          <w:bdr w:val="none" w:color="auto" w:sz="0" w:space="0"/>
          <w:lang w:val="en-US" w:eastAsia="zh-CN" w:bidi="ar"/>
        </w:rPr>
        <w:t>安徽省人民政府办公厅关于印发</w:t>
      </w:r>
      <w:r>
        <w:rPr>
          <w:rFonts w:ascii="color:#333333;" w:hAnsi="color:#333333;" w:eastAsia="color:#333333;" w:cs="color:#333333;"/>
          <w:b/>
          <w:kern w:val="0"/>
          <w:sz w:val="24"/>
          <w:szCs w:val="24"/>
          <w:bdr w:val="none" w:color="auto" w:sz="0" w:space="0"/>
          <w:lang w:val="en-US" w:eastAsia="zh-CN" w:bidi="ar"/>
        </w:rPr>
        <w:t>“</w:t>
      </w:r>
      <w:r>
        <w:rPr>
          <w:rFonts w:hint="eastAsia" w:ascii="宋体" w:hAnsi="宋体" w:eastAsia="宋体" w:cs="宋体"/>
          <w:b/>
          <w:color w:val="333333"/>
          <w:kern w:val="0"/>
          <w:sz w:val="24"/>
          <w:szCs w:val="24"/>
          <w:bdr w:val="none" w:color="auto" w:sz="0" w:space="0"/>
          <w:lang w:val="en-US" w:eastAsia="zh-CN" w:bidi="ar"/>
        </w:rPr>
        <w:t>十三五</w:t>
      </w:r>
      <w:r>
        <w:rPr>
          <w:rFonts w:hint="default" w:ascii="color:#333333;" w:hAnsi="color:#333333;" w:eastAsia="color:#333333;" w:cs="color:#333333;"/>
          <w:b/>
          <w:kern w:val="0"/>
          <w:sz w:val="24"/>
          <w:szCs w:val="24"/>
          <w:bdr w:val="none" w:color="auto" w:sz="0" w:space="0"/>
          <w:lang w:val="en-US" w:eastAsia="zh-CN" w:bidi="ar"/>
        </w:rPr>
        <w:t>”</w:t>
      </w:r>
      <w:r>
        <w:rPr>
          <w:rFonts w:hint="eastAsia" w:ascii="宋体" w:hAnsi="宋体" w:eastAsia="宋体" w:cs="宋体"/>
          <w:b/>
          <w:color w:val="333333"/>
          <w:kern w:val="0"/>
          <w:sz w:val="24"/>
          <w:szCs w:val="24"/>
          <w:bdr w:val="none" w:color="auto" w:sz="0" w:space="0"/>
          <w:lang w:val="en-US" w:eastAsia="zh-CN" w:bidi="ar"/>
        </w:rPr>
        <w:t>安徽省老龄事业发展和养老体系建设规划的通知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2"/>
        <w:jc w:val="center"/>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color:#333333;" w:hAnsi="color:#333333;" w:eastAsia="color:#333333;" w:cs="color:#333333;"/>
          <w:kern w:val="0"/>
          <w:sz w:val="24"/>
          <w:szCs w:val="24"/>
          <w:bdr w:val="none" w:color="auto" w:sz="0" w:space="0"/>
          <w:lang w:val="en-US" w:eastAsia="zh-CN" w:bidi="ar"/>
        </w:rPr>
        <w:t>各市、县人民政府，省政府各部门、各直属机构：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default" w:ascii="color:#333333;" w:hAnsi="color:#333333;" w:eastAsia="color:#333333;" w:cs="color:#333333;"/>
          <w:kern w:val="0"/>
          <w:sz w:val="24"/>
          <w:szCs w:val="24"/>
          <w:bdr w:val="none" w:color="auto" w:sz="0" w:space="0"/>
          <w:lang w:val="en-US" w:eastAsia="zh-CN" w:bidi="ar"/>
        </w:rPr>
        <w:t>《“十三五”安徽省老龄事业发展和养老体系建设规划》已经省政府同意，现印发给你们，请结合实际，认真贯彻执行。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right"/>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right"/>
      </w:pPr>
      <w:r>
        <w:rPr>
          <w:rFonts w:hint="default" w:ascii="color:#333333;" w:hAnsi="color:#333333;" w:eastAsia="color:#333333;" w:cs="color:#333333;"/>
          <w:kern w:val="0"/>
          <w:sz w:val="24"/>
          <w:szCs w:val="24"/>
          <w:bdr w:val="none" w:color="auto" w:sz="0" w:space="0"/>
          <w:lang w:val="en-US" w:eastAsia="zh-CN" w:bidi="ar"/>
        </w:rPr>
        <w:t>安徽省人民政府办公厅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right"/>
      </w:pPr>
      <w:r>
        <w:rPr>
          <w:rFonts w:hint="eastAsia" w:ascii="宋体" w:hAnsi="宋体" w:eastAsia="宋体" w:cs="宋体"/>
          <w:color w:val="333333"/>
          <w:kern w:val="0"/>
          <w:sz w:val="24"/>
          <w:szCs w:val="24"/>
          <w:bdr w:val="none" w:color="auto" w:sz="0" w:space="0"/>
          <w:lang w:val="en-US" w:eastAsia="zh-CN" w:bidi="ar"/>
        </w:rPr>
        <w:t>2017</w:t>
      </w:r>
      <w:r>
        <w:rPr>
          <w:rFonts w:hint="default" w:ascii="color:#333333;" w:hAnsi="color:#333333;" w:eastAsia="color:#333333;" w:cs="color:#333333;"/>
          <w:kern w:val="0"/>
          <w:sz w:val="24"/>
          <w:szCs w:val="24"/>
          <w:bdr w:val="none" w:color="auto" w:sz="0" w:space="0"/>
          <w:lang w:val="en-US" w:eastAsia="zh-CN" w:bidi="ar"/>
        </w:rPr>
        <w:t>年</w:t>
      </w:r>
      <w:r>
        <w:rPr>
          <w:rFonts w:hint="eastAsia" w:ascii="宋体" w:hAnsi="宋体" w:eastAsia="宋体" w:cs="宋体"/>
          <w:color w:val="333333"/>
          <w:kern w:val="0"/>
          <w:sz w:val="24"/>
          <w:szCs w:val="24"/>
          <w:bdr w:val="none" w:color="auto" w:sz="0" w:space="0"/>
          <w:lang w:val="en-US" w:eastAsia="zh-CN" w:bidi="ar"/>
        </w:rPr>
        <w:t>7</w:t>
      </w:r>
      <w:r>
        <w:rPr>
          <w:rFonts w:hint="default" w:ascii="color:#333333;" w:hAnsi="color:#333333;" w:eastAsia="color:#333333;" w:cs="color:#333333;"/>
          <w:kern w:val="0"/>
          <w:sz w:val="24"/>
          <w:szCs w:val="24"/>
          <w:bdr w:val="none" w:color="auto" w:sz="0" w:space="0"/>
          <w:lang w:val="en-US" w:eastAsia="zh-CN" w:bidi="ar"/>
        </w:rPr>
        <w:t>月</w:t>
      </w:r>
      <w:r>
        <w:rPr>
          <w:rFonts w:hint="eastAsia" w:ascii="宋体" w:hAnsi="宋体" w:eastAsia="宋体" w:cs="宋体"/>
          <w:color w:val="333333"/>
          <w:kern w:val="0"/>
          <w:sz w:val="24"/>
          <w:szCs w:val="24"/>
          <w:bdr w:val="none" w:color="auto" w:sz="0" w:space="0"/>
          <w:lang w:val="en-US" w:eastAsia="zh-CN" w:bidi="ar"/>
        </w:rPr>
        <w:t>13</w:t>
      </w:r>
      <w:r>
        <w:rPr>
          <w:rFonts w:hint="default" w:ascii="color:#333333;" w:hAnsi="color:#333333;" w:eastAsia="color:#333333;" w:cs="color:#333333;"/>
          <w:kern w:val="0"/>
          <w:sz w:val="24"/>
          <w:szCs w:val="24"/>
          <w:bdr w:val="none" w:color="auto" w:sz="0" w:space="0"/>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right"/>
      </w:pPr>
      <w:r>
        <w:rPr>
          <w:rFonts w:hint="eastAsia" w:ascii="宋体" w:hAnsi="宋体" w:eastAsia="宋体" w:cs="宋体"/>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default" w:ascii="color:#333333;" w:hAnsi="color:#333333;" w:eastAsia="color:#333333;" w:cs="color:#333333;"/>
          <w:kern w:val="0"/>
          <w:sz w:val="24"/>
          <w:szCs w:val="24"/>
          <w:bdr w:val="none" w:color="auto" w:sz="0" w:space="0"/>
          <w:lang w:val="en-US" w:eastAsia="zh-CN" w:bidi="ar"/>
        </w:rPr>
        <w:t>（此件公开发布）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2"/>
        <w:jc w:val="center"/>
      </w:pPr>
      <w:r>
        <w:rPr>
          <w:rFonts w:hint="default" w:ascii="color:#333333;" w:hAnsi="color:#333333;" w:eastAsia="color:#333333;" w:cs="color:#333333;"/>
          <w:b/>
          <w:kern w:val="0"/>
          <w:sz w:val="24"/>
          <w:szCs w:val="24"/>
          <w:bdr w:val="none" w:color="auto" w:sz="0" w:space="0"/>
          <w:lang w:val="en-US" w:eastAsia="zh-CN" w:bidi="ar"/>
        </w:rPr>
        <w:t>“十三五”安徽省老龄事业发展和养老体系建设规划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default" w:ascii="color:#333333;" w:hAnsi="color:#333333;" w:eastAsia="color:#333333;" w:cs="color:#333333;"/>
          <w:kern w:val="0"/>
          <w:sz w:val="24"/>
          <w:szCs w:val="24"/>
          <w:bdr w:val="none" w:color="auto" w:sz="0" w:space="0"/>
          <w:lang w:val="en-US" w:eastAsia="zh-CN" w:bidi="ar"/>
        </w:rPr>
        <w:t>为积极开展应对人口老龄化行动，推动老龄事业全面协调可持续发展，健全养老体系，根据《“十三五”国家老龄事业发展和养老体系建设规划》《安徽省实施〈中华人民共和国老年人权益保障法〉办法》和《安徽省国民经济和社会发展第十三个五年规划纲要》，结合我省人口老龄化快速发展的实际，制定本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37" w:right="0" w:hanging="1155"/>
        <w:jc w:val="center"/>
      </w:pPr>
      <w:r>
        <w:rPr>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37" w:right="0" w:hanging="1155"/>
        <w:jc w:val="center"/>
      </w:pPr>
      <w:r>
        <w:rPr>
          <w:rFonts w:hint="default" w:ascii="color:#333333;" w:hAnsi="color:#333333;" w:eastAsia="color:#333333;" w:cs="color:#333333;"/>
          <w:b/>
          <w:sz w:val="24"/>
          <w:szCs w:val="24"/>
          <w:bdr w:val="none" w:color="auto" w:sz="0" w:space="0"/>
        </w:rPr>
        <w:t>第一章     规划背景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320" w:right="0" w:hanging="840"/>
        <w:jc w:val="center"/>
      </w:pPr>
      <w:r>
        <w:rPr>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320" w:right="0" w:hanging="840"/>
        <w:jc w:val="center"/>
      </w:pPr>
      <w:r>
        <w:rPr>
          <w:rFonts w:hint="default" w:ascii="color:#333333;" w:hAnsi="color:#333333;" w:eastAsia="color:#333333;" w:cs="color:#333333;"/>
          <w:sz w:val="24"/>
          <w:szCs w:val="24"/>
          <w:bdr w:val="none" w:color="auto" w:sz="0" w:space="0"/>
        </w:rPr>
        <w:t>第一节  “十二五”期间取得的主要成就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default" w:ascii="color:#333333;" w:hAnsi="color:#333333;" w:eastAsia="color:#333333;" w:cs="color:#333333;"/>
          <w:kern w:val="0"/>
          <w:sz w:val="24"/>
          <w:szCs w:val="24"/>
          <w:bdr w:val="none" w:color="auto" w:sz="0" w:space="0"/>
          <w:lang w:val="en-US" w:eastAsia="zh-CN" w:bidi="ar"/>
        </w:rPr>
        <w:t>“十二五”时期，我省老龄事业呈现全面、快速发展态势，《安徽省老龄事业发展“十二五”规划》《安徽省社会养老服务体系建设规划（</w:t>
      </w:r>
      <w:r>
        <w:rPr>
          <w:rFonts w:hint="eastAsia" w:ascii="宋体" w:hAnsi="宋体" w:eastAsia="宋体" w:cs="宋体"/>
          <w:color w:val="333333"/>
          <w:kern w:val="0"/>
          <w:sz w:val="24"/>
          <w:szCs w:val="24"/>
          <w:bdr w:val="none" w:color="auto" w:sz="0" w:space="0"/>
          <w:lang w:val="en-US" w:eastAsia="zh-CN" w:bidi="ar"/>
        </w:rPr>
        <w:t>2011</w:t>
      </w:r>
      <w:r>
        <w:rPr>
          <w:rFonts w:hint="default" w:ascii="color:#333333;" w:hAnsi="color:#333333;" w:eastAsia="color:#333333;" w:cs="color:#333333;"/>
          <w:kern w:val="0"/>
          <w:sz w:val="24"/>
          <w:szCs w:val="24"/>
          <w:bdr w:val="none" w:color="auto" w:sz="0" w:space="0"/>
          <w:lang w:val="en-US" w:eastAsia="zh-CN" w:bidi="ar"/>
        </w:rPr>
        <w:t>—</w:t>
      </w:r>
      <w:r>
        <w:rPr>
          <w:rFonts w:hint="eastAsia" w:ascii="宋体" w:hAnsi="宋体" w:eastAsia="宋体" w:cs="宋体"/>
          <w:color w:val="333333"/>
          <w:kern w:val="0"/>
          <w:sz w:val="24"/>
          <w:szCs w:val="24"/>
          <w:bdr w:val="none" w:color="auto" w:sz="0" w:space="0"/>
          <w:lang w:val="en-US" w:eastAsia="zh-CN" w:bidi="ar"/>
        </w:rPr>
        <w:t>2015</w:t>
      </w:r>
      <w:r>
        <w:rPr>
          <w:rFonts w:hint="default" w:ascii="color:#333333;" w:hAnsi="color:#333333;" w:eastAsia="color:#333333;" w:cs="color:#333333;"/>
          <w:kern w:val="0"/>
          <w:sz w:val="24"/>
          <w:szCs w:val="24"/>
          <w:bdr w:val="none" w:color="auto" w:sz="0" w:space="0"/>
          <w:lang w:val="en-US" w:eastAsia="zh-CN" w:bidi="ar"/>
        </w:rPr>
        <w:t>年）》确定的目标任务基本完成，老龄事业和老龄工作跃上新台阶。《安徽省人民政府关于加快发展养老服务业的实施意见》（皖政〔</w:t>
      </w:r>
      <w:r>
        <w:rPr>
          <w:rFonts w:hint="eastAsia" w:ascii="宋体" w:hAnsi="宋体" w:eastAsia="宋体" w:cs="宋体"/>
          <w:color w:val="333333"/>
          <w:kern w:val="0"/>
          <w:sz w:val="24"/>
          <w:szCs w:val="24"/>
          <w:bdr w:val="none" w:color="auto" w:sz="0" w:space="0"/>
          <w:lang w:val="en-US" w:eastAsia="zh-CN" w:bidi="ar"/>
        </w:rPr>
        <w:t>2014</w:t>
      </w:r>
      <w:r>
        <w:rPr>
          <w:rFonts w:hint="default" w:ascii="color:#333333;" w:hAnsi="color:#333333;" w:eastAsia="color:#333333;" w:cs="color:#333333;"/>
          <w:kern w:val="0"/>
          <w:sz w:val="24"/>
          <w:szCs w:val="24"/>
          <w:bdr w:val="none" w:color="auto" w:sz="0" w:space="0"/>
          <w:lang w:val="en-US" w:eastAsia="zh-CN" w:bidi="ar"/>
        </w:rPr>
        <w:t>〕</w:t>
      </w:r>
      <w:r>
        <w:rPr>
          <w:rFonts w:hint="eastAsia" w:ascii="宋体" w:hAnsi="宋体" w:eastAsia="宋体" w:cs="宋体"/>
          <w:color w:val="333333"/>
          <w:kern w:val="0"/>
          <w:sz w:val="24"/>
          <w:szCs w:val="24"/>
          <w:bdr w:val="none" w:color="auto" w:sz="0" w:space="0"/>
          <w:lang w:val="en-US" w:eastAsia="zh-CN" w:bidi="ar"/>
        </w:rPr>
        <w:t>60</w:t>
      </w:r>
      <w:r>
        <w:rPr>
          <w:rFonts w:hint="default" w:ascii="color:#333333;" w:hAnsi="color:#333333;" w:eastAsia="color:#333333;" w:cs="color:#333333;"/>
          <w:kern w:val="0"/>
          <w:sz w:val="24"/>
          <w:szCs w:val="24"/>
          <w:bdr w:val="none" w:color="auto" w:sz="0" w:space="0"/>
          <w:lang w:val="en-US" w:eastAsia="zh-CN" w:bidi="ar"/>
        </w:rPr>
        <w:t>号）等政策文件陆续制定实施，完成《安徽省实施〈中华人民共和国老年人权益保障法〉办法》审议前修订工作，老龄事业法规政策体系更加完备。基本养老、基本医疗保障覆盖面不断扩大，保障水平逐年提高，社会保障体系日臻完善。城乡居民基础养老金最低标准由月人均</w:t>
      </w:r>
      <w:r>
        <w:rPr>
          <w:rFonts w:hint="eastAsia" w:ascii="宋体" w:hAnsi="宋体" w:eastAsia="宋体" w:cs="宋体"/>
          <w:color w:val="333333"/>
          <w:kern w:val="0"/>
          <w:sz w:val="24"/>
          <w:szCs w:val="24"/>
          <w:bdr w:val="none" w:color="auto" w:sz="0" w:space="0"/>
          <w:lang w:val="en-US" w:eastAsia="zh-CN" w:bidi="ar"/>
        </w:rPr>
        <w:t>55</w:t>
      </w:r>
      <w:r>
        <w:rPr>
          <w:rFonts w:hint="default" w:ascii="color:#333333;" w:hAnsi="color:#333333;" w:eastAsia="color:#333333;" w:cs="color:#333333;"/>
          <w:kern w:val="0"/>
          <w:sz w:val="24"/>
          <w:szCs w:val="24"/>
          <w:bdr w:val="none" w:color="auto" w:sz="0" w:space="0"/>
          <w:lang w:val="en-US" w:eastAsia="zh-CN" w:bidi="ar"/>
        </w:rPr>
        <w:t>元提高到</w:t>
      </w:r>
      <w:r>
        <w:rPr>
          <w:rFonts w:hint="eastAsia" w:ascii="宋体" w:hAnsi="宋体" w:eastAsia="宋体" w:cs="宋体"/>
          <w:color w:val="333333"/>
          <w:kern w:val="0"/>
          <w:sz w:val="24"/>
          <w:szCs w:val="24"/>
          <w:bdr w:val="none" w:color="auto" w:sz="0" w:space="0"/>
          <w:lang w:val="en-US" w:eastAsia="zh-CN" w:bidi="ar"/>
        </w:rPr>
        <w:t>70</w:t>
      </w:r>
      <w:r>
        <w:rPr>
          <w:rFonts w:hint="default" w:ascii="color:#333333;" w:hAnsi="color:#333333;" w:eastAsia="color:#333333;" w:cs="color:#333333;"/>
          <w:kern w:val="0"/>
          <w:sz w:val="24"/>
          <w:szCs w:val="24"/>
          <w:bdr w:val="none" w:color="auto" w:sz="0" w:space="0"/>
          <w:lang w:val="en-US" w:eastAsia="zh-CN" w:bidi="ar"/>
        </w:rPr>
        <w:t>元，增长了</w:t>
      </w:r>
      <w:r>
        <w:rPr>
          <w:rFonts w:hint="eastAsia" w:ascii="宋体" w:hAnsi="宋体" w:eastAsia="宋体" w:cs="宋体"/>
          <w:color w:val="333333"/>
          <w:kern w:val="0"/>
          <w:sz w:val="24"/>
          <w:szCs w:val="24"/>
          <w:bdr w:val="none" w:color="auto" w:sz="0" w:space="0"/>
          <w:lang w:val="en-US" w:eastAsia="zh-CN" w:bidi="ar"/>
        </w:rPr>
        <w:t>27.3%</w:t>
      </w:r>
      <w:r>
        <w:rPr>
          <w:rFonts w:hint="default" w:ascii="color:#333333;" w:hAnsi="color:#333333;" w:eastAsia="color:#333333;" w:cs="color:#333333;"/>
          <w:kern w:val="0"/>
          <w:sz w:val="24"/>
          <w:szCs w:val="24"/>
          <w:bdr w:val="none" w:color="auto" w:sz="0" w:space="0"/>
          <w:lang w:val="en-US" w:eastAsia="zh-CN" w:bidi="ar"/>
        </w:rPr>
        <w:t>，企业退休人员基本养老金由月人均</w:t>
      </w:r>
      <w:r>
        <w:rPr>
          <w:rFonts w:hint="eastAsia" w:ascii="宋体" w:hAnsi="宋体" w:eastAsia="宋体" w:cs="宋体"/>
          <w:color w:val="333333"/>
          <w:kern w:val="0"/>
          <w:sz w:val="24"/>
          <w:szCs w:val="24"/>
          <w:bdr w:val="none" w:color="auto" w:sz="0" w:space="0"/>
          <w:lang w:val="en-US" w:eastAsia="zh-CN" w:bidi="ar"/>
        </w:rPr>
        <w:t>908</w:t>
      </w:r>
      <w:r>
        <w:rPr>
          <w:rFonts w:hint="default" w:ascii="color:#333333;" w:hAnsi="color:#333333;" w:eastAsia="color:#333333;" w:cs="color:#333333;"/>
          <w:kern w:val="0"/>
          <w:sz w:val="24"/>
          <w:szCs w:val="24"/>
          <w:bdr w:val="none" w:color="auto" w:sz="0" w:space="0"/>
          <w:lang w:val="en-US" w:eastAsia="zh-CN" w:bidi="ar"/>
        </w:rPr>
        <w:t>元提高到</w:t>
      </w:r>
      <w:r>
        <w:rPr>
          <w:rFonts w:hint="eastAsia" w:ascii="宋体" w:hAnsi="宋体" w:eastAsia="宋体" w:cs="宋体"/>
          <w:color w:val="333333"/>
          <w:kern w:val="0"/>
          <w:sz w:val="24"/>
          <w:szCs w:val="24"/>
          <w:bdr w:val="none" w:color="auto" w:sz="0" w:space="0"/>
          <w:lang w:val="en-US" w:eastAsia="zh-CN" w:bidi="ar"/>
        </w:rPr>
        <w:t>2024</w:t>
      </w:r>
      <w:r>
        <w:rPr>
          <w:rFonts w:hint="default" w:ascii="color:#333333;" w:hAnsi="color:#333333;" w:eastAsia="color:#333333;" w:cs="color:#333333;"/>
          <w:kern w:val="0"/>
          <w:sz w:val="24"/>
          <w:szCs w:val="24"/>
          <w:bdr w:val="none" w:color="auto" w:sz="0" w:space="0"/>
          <w:lang w:val="en-US" w:eastAsia="zh-CN" w:bidi="ar"/>
        </w:rPr>
        <w:t>元，增长了</w:t>
      </w:r>
      <w:r>
        <w:rPr>
          <w:rFonts w:hint="eastAsia" w:ascii="宋体" w:hAnsi="宋体" w:eastAsia="宋体" w:cs="宋体"/>
          <w:color w:val="333333"/>
          <w:kern w:val="0"/>
          <w:sz w:val="24"/>
          <w:szCs w:val="24"/>
          <w:bdr w:val="none" w:color="auto" w:sz="0" w:space="0"/>
          <w:lang w:val="en-US" w:eastAsia="zh-CN" w:bidi="ar"/>
        </w:rPr>
        <w:t>122.9%</w:t>
      </w:r>
      <w:r>
        <w:rPr>
          <w:rFonts w:hint="default" w:ascii="color:#333333;" w:hAnsi="color:#333333;" w:eastAsia="color:#333333;" w:cs="color:#333333;"/>
          <w:kern w:val="0"/>
          <w:sz w:val="24"/>
          <w:szCs w:val="24"/>
          <w:bdr w:val="none" w:color="auto" w:sz="0" w:space="0"/>
          <w:lang w:val="en-US" w:eastAsia="zh-CN" w:bidi="ar"/>
        </w:rPr>
        <w:t>。居家为基础、社区为依托、机构为补充、医养相结合的养老服务体系初步建立。敬老养老助老社会氛围日益浓厚，依法保障老年人权益举措有力，老年人参与社会发展更加充分。老年文化、体育、教育事业快速发展，老年人精神文化生活更加丰富。老龄科研创新发展，信息化建设推进，决策老龄、服务老龄的基础更加扎实。</w:t>
      </w: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jc w:val="left"/>
      </w:pPr>
      <w:r>
        <w:rPr>
          <w:rFonts w:ascii="宋体" w:hAnsi="宋体" w:eastAsia="宋体" w:cs="宋体"/>
          <w:kern w:val="0"/>
          <w:sz w:val="21"/>
          <w:szCs w:val="21"/>
          <w:lang w:val="en-US" w:eastAsia="zh-CN" w:bidi="ar"/>
        </w:rPr>
        <w:t> </w:t>
      </w:r>
    </w:p>
    <w:tbl>
      <w:tblPr>
        <w:tblW w:w="8304"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3487"/>
        <w:gridCol w:w="1839"/>
        <w:gridCol w:w="1612"/>
        <w:gridCol w:w="136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8304" w:type="dxa"/>
            <w:gridSpan w:val="4"/>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color:#333333;" w:hAnsi="color:#333333;" w:eastAsia="color:#333333;" w:cs="color:#333333;"/>
                <w:color w:val="333333"/>
                <w:kern w:val="0"/>
                <w:sz w:val="24"/>
                <w:szCs w:val="24"/>
                <w:bdr w:val="none" w:color="auto" w:sz="0" w:space="0"/>
                <w:lang w:val="en-US" w:eastAsia="zh-CN" w:bidi="ar"/>
              </w:rPr>
              <w:t>专栏</w:t>
            </w:r>
            <w:r>
              <w:rPr>
                <w:rFonts w:hint="eastAsia" w:ascii="宋体" w:hAnsi="宋体" w:eastAsia="宋体" w:cs="宋体"/>
                <w:color w:val="333333"/>
                <w:kern w:val="0"/>
                <w:sz w:val="24"/>
                <w:szCs w:val="24"/>
                <w:bdr w:val="none" w:color="auto" w:sz="0" w:space="0"/>
                <w:lang w:val="en-US" w:eastAsia="zh-CN" w:bidi="ar"/>
              </w:rPr>
              <w:t>1</w:t>
            </w:r>
            <w:r>
              <w:rPr>
                <w:rFonts w:hint="default" w:ascii="color:#333333;" w:hAnsi="color:#333333;" w:eastAsia="color:#333333;" w:cs="color:#333333;"/>
                <w:color w:val="333333"/>
                <w:kern w:val="0"/>
                <w:sz w:val="24"/>
                <w:szCs w:val="24"/>
                <w:bdr w:val="none" w:color="auto" w:sz="0" w:space="0"/>
                <w:lang w:val="en-US" w:eastAsia="zh-CN" w:bidi="ar"/>
              </w:rPr>
              <w:t>　“十二五”期间安徽省老龄事业发展和养老体系建设</w:t>
            </w:r>
            <w:r>
              <w:rPr>
                <w:rFonts w:hint="eastAsia" w:ascii="宋体" w:hAnsi="宋体" w:eastAsia="宋体" w:cs="宋体"/>
                <w:color w:val="333333"/>
                <w:kern w:val="0"/>
                <w:sz w:val="24"/>
                <w:szCs w:val="24"/>
                <w:bdr w:val="none" w:color="auto" w:sz="0" w:space="0"/>
                <w:lang w:val="en-US" w:eastAsia="zh-CN" w:bidi="ar"/>
              </w:rPr>
              <w:t> </w:t>
            </w:r>
            <w:r>
              <w:rPr>
                <w:rFonts w:hint="default" w:ascii="color:#333333;" w:hAnsi="color:#333333;" w:eastAsia="color:#333333;" w:cs="color:#333333;"/>
                <w:color w:val="333333"/>
                <w:kern w:val="0"/>
                <w:sz w:val="24"/>
                <w:szCs w:val="24"/>
                <w:bdr w:val="none" w:color="auto" w:sz="0" w:space="0"/>
                <w:lang w:val="en-US" w:eastAsia="zh-CN" w:bidi="ar"/>
              </w:rPr>
              <w:t>主要指标完成情况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348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333333"/>
                <w:kern w:val="0"/>
                <w:sz w:val="24"/>
                <w:szCs w:val="24"/>
                <w:bdr w:val="none" w:color="auto" w:sz="0" w:space="0"/>
                <w:lang w:val="en-US" w:eastAsia="zh-CN" w:bidi="ar"/>
              </w:rPr>
              <w:t>主要指标</w:t>
            </w:r>
          </w:p>
        </w:tc>
        <w:tc>
          <w:tcPr>
            <w:tcW w:w="1839"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333333"/>
                <w:kern w:val="0"/>
                <w:sz w:val="24"/>
                <w:szCs w:val="24"/>
                <w:bdr w:val="none" w:color="auto" w:sz="0" w:space="0"/>
                <w:lang w:val="en-US" w:eastAsia="zh-CN" w:bidi="ar"/>
              </w:rPr>
              <w:t>完成情况</w:t>
            </w:r>
          </w:p>
        </w:tc>
        <w:tc>
          <w:tcPr>
            <w:tcW w:w="161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333333"/>
                <w:kern w:val="0"/>
                <w:sz w:val="24"/>
                <w:szCs w:val="24"/>
                <w:bdr w:val="none" w:color="auto" w:sz="0" w:space="0"/>
                <w:lang w:val="en-US" w:eastAsia="zh-CN" w:bidi="ar"/>
              </w:rPr>
              <w:t>预期目标</w:t>
            </w:r>
          </w:p>
        </w:tc>
        <w:tc>
          <w:tcPr>
            <w:tcW w:w="13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333333"/>
                <w:kern w:val="0"/>
                <w:sz w:val="24"/>
                <w:szCs w:val="24"/>
                <w:bdr w:val="none" w:color="auto" w:sz="0" w:space="0"/>
                <w:lang w:val="en-US" w:eastAsia="zh-CN" w:bidi="ar"/>
              </w:rPr>
              <w:t>完成率（%）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348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宋体" w:hAnsi="宋体" w:eastAsia="宋体" w:cs="宋体"/>
                <w:color w:val="333333"/>
                <w:kern w:val="0"/>
                <w:sz w:val="24"/>
                <w:szCs w:val="24"/>
                <w:bdr w:val="none" w:color="auto" w:sz="0" w:space="0"/>
                <w:lang w:val="en-US" w:eastAsia="zh-CN" w:bidi="ar"/>
              </w:rPr>
              <w:t>城镇职工基本养老保险参保人数（万人）</w:t>
            </w:r>
          </w:p>
        </w:tc>
        <w:tc>
          <w:tcPr>
            <w:tcW w:w="1839"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333333"/>
                <w:kern w:val="0"/>
                <w:sz w:val="24"/>
                <w:szCs w:val="24"/>
                <w:bdr w:val="none" w:color="auto" w:sz="0" w:space="0"/>
                <w:lang w:val="en-US" w:eastAsia="zh-CN" w:bidi="ar"/>
              </w:rPr>
              <w:t>857.8</w:t>
            </w:r>
          </w:p>
        </w:tc>
        <w:tc>
          <w:tcPr>
            <w:tcW w:w="161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333333"/>
                <w:kern w:val="0"/>
                <w:sz w:val="24"/>
                <w:szCs w:val="24"/>
                <w:bdr w:val="none" w:color="auto" w:sz="0" w:space="0"/>
                <w:lang w:val="en-US" w:eastAsia="zh-CN" w:bidi="ar"/>
              </w:rPr>
              <w:t>800.0</w:t>
            </w:r>
          </w:p>
        </w:tc>
        <w:tc>
          <w:tcPr>
            <w:tcW w:w="13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333333"/>
                <w:kern w:val="0"/>
                <w:sz w:val="24"/>
                <w:szCs w:val="24"/>
                <w:bdr w:val="none" w:color="auto" w:sz="0" w:space="0"/>
                <w:lang w:val="en-US" w:eastAsia="zh-CN" w:bidi="ar"/>
              </w:rPr>
              <w:t>107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348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宋体" w:hAnsi="宋体" w:eastAsia="宋体" w:cs="宋体"/>
                <w:color w:val="333333"/>
                <w:kern w:val="0"/>
                <w:sz w:val="24"/>
                <w:szCs w:val="24"/>
                <w:bdr w:val="none" w:color="auto" w:sz="0" w:space="0"/>
                <w:lang w:val="en-US" w:eastAsia="zh-CN" w:bidi="ar"/>
              </w:rPr>
              <w:t>城乡居民基本养老保险参保人数（万人）</w:t>
            </w:r>
          </w:p>
        </w:tc>
        <w:tc>
          <w:tcPr>
            <w:tcW w:w="1839"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333333"/>
                <w:kern w:val="0"/>
                <w:sz w:val="24"/>
                <w:szCs w:val="24"/>
                <w:bdr w:val="none" w:color="auto" w:sz="0" w:space="0"/>
                <w:lang w:val="en-US" w:eastAsia="zh-CN" w:bidi="ar"/>
              </w:rPr>
              <w:t>3396.6</w:t>
            </w:r>
          </w:p>
        </w:tc>
        <w:tc>
          <w:tcPr>
            <w:tcW w:w="161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333333"/>
                <w:kern w:val="0"/>
                <w:sz w:val="24"/>
                <w:szCs w:val="24"/>
                <w:bdr w:val="none" w:color="auto" w:sz="0" w:space="0"/>
                <w:lang w:val="en-US" w:eastAsia="zh-CN" w:bidi="ar"/>
              </w:rPr>
              <w:t>3300.0</w:t>
            </w:r>
          </w:p>
        </w:tc>
        <w:tc>
          <w:tcPr>
            <w:tcW w:w="13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333333"/>
                <w:kern w:val="0"/>
                <w:sz w:val="24"/>
                <w:szCs w:val="24"/>
                <w:bdr w:val="none" w:color="auto" w:sz="0" w:space="0"/>
                <w:lang w:val="en-US" w:eastAsia="zh-CN" w:bidi="ar"/>
              </w:rPr>
              <w:t>103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348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宋体" w:hAnsi="宋体" w:eastAsia="宋体" w:cs="宋体"/>
                <w:color w:val="333333"/>
                <w:kern w:val="0"/>
                <w:sz w:val="24"/>
                <w:szCs w:val="24"/>
                <w:bdr w:val="none" w:color="auto" w:sz="0" w:space="0"/>
                <w:lang w:val="en-US" w:eastAsia="zh-CN" w:bidi="ar"/>
              </w:rPr>
              <w:t>企业退休人员社会化管理比例（%）</w:t>
            </w:r>
          </w:p>
        </w:tc>
        <w:tc>
          <w:tcPr>
            <w:tcW w:w="1839"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333333"/>
                <w:kern w:val="0"/>
                <w:sz w:val="24"/>
                <w:szCs w:val="24"/>
                <w:bdr w:val="none" w:color="auto" w:sz="0" w:space="0"/>
                <w:lang w:val="en-US" w:eastAsia="zh-CN" w:bidi="ar"/>
              </w:rPr>
              <w:t>94.1</w:t>
            </w:r>
          </w:p>
        </w:tc>
        <w:tc>
          <w:tcPr>
            <w:tcW w:w="161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333333"/>
                <w:kern w:val="0"/>
                <w:sz w:val="24"/>
                <w:szCs w:val="24"/>
                <w:bdr w:val="none" w:color="auto" w:sz="0" w:space="0"/>
                <w:lang w:val="en-US" w:eastAsia="zh-CN" w:bidi="ar"/>
              </w:rPr>
              <w:t>80.0</w:t>
            </w:r>
          </w:p>
        </w:tc>
        <w:tc>
          <w:tcPr>
            <w:tcW w:w="13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333333"/>
                <w:kern w:val="0"/>
                <w:sz w:val="24"/>
                <w:szCs w:val="24"/>
                <w:bdr w:val="none" w:color="auto" w:sz="0" w:space="0"/>
                <w:lang w:val="en-US" w:eastAsia="zh-CN" w:bidi="ar"/>
              </w:rPr>
              <w:t>118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348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宋体" w:hAnsi="宋体" w:eastAsia="宋体" w:cs="宋体"/>
                <w:color w:val="333333"/>
                <w:kern w:val="0"/>
                <w:sz w:val="24"/>
                <w:szCs w:val="24"/>
                <w:bdr w:val="none" w:color="auto" w:sz="0" w:space="0"/>
                <w:lang w:val="en-US" w:eastAsia="zh-CN" w:bidi="ar"/>
              </w:rPr>
              <w:t>离退休人员养老金待遇年均增长率（%）</w:t>
            </w:r>
          </w:p>
        </w:tc>
        <w:tc>
          <w:tcPr>
            <w:tcW w:w="1839"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333333"/>
                <w:kern w:val="0"/>
                <w:sz w:val="24"/>
                <w:szCs w:val="24"/>
                <w:bdr w:val="none" w:color="auto" w:sz="0" w:space="0"/>
                <w:lang w:val="en-US" w:eastAsia="zh-CN" w:bidi="ar"/>
              </w:rPr>
              <w:t>12.0</w:t>
            </w:r>
          </w:p>
        </w:tc>
        <w:tc>
          <w:tcPr>
            <w:tcW w:w="161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333333"/>
                <w:kern w:val="0"/>
                <w:sz w:val="24"/>
                <w:szCs w:val="24"/>
                <w:bdr w:val="none" w:color="auto" w:sz="0" w:space="0"/>
                <w:lang w:val="en-US" w:eastAsia="zh-CN" w:bidi="ar"/>
              </w:rPr>
              <w:t>7.0</w:t>
            </w:r>
          </w:p>
        </w:tc>
        <w:tc>
          <w:tcPr>
            <w:tcW w:w="13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333333"/>
                <w:kern w:val="0"/>
                <w:sz w:val="24"/>
                <w:szCs w:val="24"/>
                <w:bdr w:val="none" w:color="auto" w:sz="0" w:space="0"/>
                <w:lang w:val="en-US" w:eastAsia="zh-CN" w:bidi="ar"/>
              </w:rPr>
              <w:t>171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348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宋体" w:hAnsi="宋体" w:eastAsia="宋体" w:cs="宋体"/>
                <w:color w:val="333333"/>
                <w:kern w:val="0"/>
                <w:sz w:val="24"/>
                <w:szCs w:val="24"/>
                <w:bdr w:val="none" w:color="auto" w:sz="0" w:space="0"/>
                <w:lang w:val="en-US" w:eastAsia="zh-CN" w:bidi="ar"/>
              </w:rPr>
              <w:t>农村五保供养平均标准年均增长率（%）</w:t>
            </w:r>
          </w:p>
        </w:tc>
        <w:tc>
          <w:tcPr>
            <w:tcW w:w="1839"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333333"/>
                <w:kern w:val="0"/>
                <w:sz w:val="24"/>
                <w:szCs w:val="24"/>
                <w:bdr w:val="none" w:color="auto" w:sz="0" w:space="0"/>
                <w:lang w:val="en-US" w:eastAsia="zh-CN" w:bidi="ar"/>
              </w:rPr>
              <w:t>15.0</w:t>
            </w:r>
          </w:p>
        </w:tc>
        <w:tc>
          <w:tcPr>
            <w:tcW w:w="161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333333"/>
                <w:kern w:val="0"/>
                <w:sz w:val="24"/>
                <w:szCs w:val="24"/>
                <w:bdr w:val="none" w:color="auto" w:sz="0" w:space="0"/>
                <w:lang w:val="en-US" w:eastAsia="zh-CN" w:bidi="ar"/>
              </w:rPr>
              <w:t>10.0</w:t>
            </w:r>
          </w:p>
        </w:tc>
        <w:tc>
          <w:tcPr>
            <w:tcW w:w="13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333333"/>
                <w:kern w:val="0"/>
                <w:sz w:val="24"/>
                <w:szCs w:val="24"/>
                <w:bdr w:val="none" w:color="auto" w:sz="0" w:space="0"/>
                <w:lang w:val="en-US" w:eastAsia="zh-CN" w:bidi="ar"/>
              </w:rPr>
              <w:t>150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348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宋体" w:hAnsi="宋体" w:eastAsia="宋体" w:cs="宋体"/>
                <w:color w:val="333333"/>
                <w:kern w:val="0"/>
                <w:sz w:val="24"/>
                <w:szCs w:val="24"/>
                <w:bdr w:val="none" w:color="auto" w:sz="0" w:space="0"/>
                <w:lang w:val="en-US" w:eastAsia="zh-CN" w:bidi="ar"/>
              </w:rPr>
              <w:t>城乡居民基本医疗保险参保人数（万人）</w:t>
            </w:r>
          </w:p>
        </w:tc>
        <w:tc>
          <w:tcPr>
            <w:tcW w:w="1839"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333333"/>
                <w:kern w:val="0"/>
                <w:sz w:val="24"/>
                <w:szCs w:val="24"/>
                <w:bdr w:val="none" w:color="auto" w:sz="0" w:space="0"/>
                <w:lang w:val="en-US" w:eastAsia="zh-CN" w:bidi="ar"/>
              </w:rPr>
              <w:t>6925.7</w:t>
            </w:r>
          </w:p>
        </w:tc>
        <w:tc>
          <w:tcPr>
            <w:tcW w:w="161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333333"/>
                <w:kern w:val="0"/>
                <w:sz w:val="24"/>
                <w:szCs w:val="24"/>
                <w:bdr w:val="none" w:color="auto" w:sz="0" w:space="0"/>
                <w:lang w:val="en-US" w:eastAsia="zh-CN" w:bidi="ar"/>
              </w:rPr>
              <w:t>6800.0</w:t>
            </w:r>
          </w:p>
        </w:tc>
        <w:tc>
          <w:tcPr>
            <w:tcW w:w="13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333333"/>
                <w:kern w:val="0"/>
                <w:sz w:val="24"/>
                <w:szCs w:val="24"/>
                <w:bdr w:val="none" w:color="auto" w:sz="0" w:space="0"/>
                <w:lang w:val="en-US" w:eastAsia="zh-CN" w:bidi="ar"/>
              </w:rPr>
              <w:t>102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348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宋体" w:hAnsi="宋体" w:eastAsia="宋体" w:cs="宋体"/>
                <w:color w:val="333333"/>
                <w:kern w:val="0"/>
                <w:sz w:val="24"/>
                <w:szCs w:val="24"/>
                <w:bdr w:val="none" w:color="auto" w:sz="0" w:space="0"/>
                <w:lang w:val="en-US" w:eastAsia="zh-CN" w:bidi="ar"/>
              </w:rPr>
              <w:t>每千名老年人拥有养老床位数（张）</w:t>
            </w:r>
          </w:p>
        </w:tc>
        <w:tc>
          <w:tcPr>
            <w:tcW w:w="1839"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333333"/>
                <w:kern w:val="0"/>
                <w:sz w:val="24"/>
                <w:szCs w:val="24"/>
                <w:bdr w:val="none" w:color="auto" w:sz="0" w:space="0"/>
                <w:lang w:val="en-US" w:eastAsia="zh-CN" w:bidi="ar"/>
              </w:rPr>
              <w:t>36.7</w:t>
            </w:r>
          </w:p>
        </w:tc>
        <w:tc>
          <w:tcPr>
            <w:tcW w:w="161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333333"/>
                <w:kern w:val="0"/>
                <w:sz w:val="24"/>
                <w:szCs w:val="24"/>
                <w:bdr w:val="none" w:color="auto" w:sz="0" w:space="0"/>
                <w:lang w:val="en-US" w:eastAsia="zh-CN" w:bidi="ar"/>
              </w:rPr>
              <w:t>40.0</w:t>
            </w:r>
          </w:p>
        </w:tc>
        <w:tc>
          <w:tcPr>
            <w:tcW w:w="13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333333"/>
                <w:kern w:val="0"/>
                <w:sz w:val="24"/>
                <w:szCs w:val="24"/>
                <w:bdr w:val="none" w:color="auto" w:sz="0" w:space="0"/>
                <w:lang w:val="en-US" w:eastAsia="zh-CN" w:bidi="ar"/>
              </w:rPr>
              <w:t>92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348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宋体" w:hAnsi="宋体" w:eastAsia="宋体" w:cs="宋体"/>
                <w:color w:val="333333"/>
                <w:kern w:val="0"/>
                <w:sz w:val="24"/>
                <w:szCs w:val="24"/>
                <w:bdr w:val="none" w:color="auto" w:sz="0" w:space="0"/>
                <w:lang w:val="en-US" w:eastAsia="zh-CN" w:bidi="ar"/>
              </w:rPr>
              <w:t>基层老年法律援助覆盖面（%）</w:t>
            </w:r>
          </w:p>
        </w:tc>
        <w:tc>
          <w:tcPr>
            <w:tcW w:w="1839"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333333"/>
                <w:kern w:val="0"/>
                <w:sz w:val="24"/>
                <w:szCs w:val="24"/>
                <w:bdr w:val="none" w:color="auto" w:sz="0" w:space="0"/>
                <w:lang w:val="en-US" w:eastAsia="zh-CN" w:bidi="ar"/>
              </w:rPr>
              <w:t>99.7</w:t>
            </w:r>
          </w:p>
        </w:tc>
        <w:tc>
          <w:tcPr>
            <w:tcW w:w="161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333333"/>
                <w:kern w:val="0"/>
                <w:sz w:val="24"/>
                <w:szCs w:val="24"/>
                <w:bdr w:val="none" w:color="auto" w:sz="0" w:space="0"/>
                <w:lang w:val="en-US" w:eastAsia="zh-CN" w:bidi="ar"/>
              </w:rPr>
              <w:t>75.0</w:t>
            </w:r>
          </w:p>
        </w:tc>
        <w:tc>
          <w:tcPr>
            <w:tcW w:w="13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333333"/>
                <w:kern w:val="0"/>
                <w:sz w:val="24"/>
                <w:szCs w:val="24"/>
                <w:bdr w:val="none" w:color="auto" w:sz="0" w:space="0"/>
                <w:lang w:val="en-US" w:eastAsia="zh-CN" w:bidi="ar"/>
              </w:rPr>
              <w:t>133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348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宋体" w:hAnsi="宋体" w:eastAsia="宋体" w:cs="宋体"/>
                <w:color w:val="333333"/>
                <w:kern w:val="0"/>
                <w:sz w:val="24"/>
                <w:szCs w:val="24"/>
                <w:bdr w:val="none" w:color="auto" w:sz="0" w:space="0"/>
                <w:lang w:val="en-US" w:eastAsia="zh-CN" w:bidi="ar"/>
              </w:rPr>
              <w:t>新建公共设施和养老场所无障碍率（%）</w:t>
            </w:r>
          </w:p>
        </w:tc>
        <w:tc>
          <w:tcPr>
            <w:tcW w:w="1839"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333333"/>
                <w:kern w:val="0"/>
                <w:sz w:val="24"/>
                <w:szCs w:val="24"/>
                <w:bdr w:val="none" w:color="auto" w:sz="0" w:space="0"/>
                <w:lang w:val="en-US" w:eastAsia="zh-CN" w:bidi="ar"/>
              </w:rPr>
              <w:t>100.0</w:t>
            </w:r>
          </w:p>
        </w:tc>
        <w:tc>
          <w:tcPr>
            <w:tcW w:w="161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333333"/>
                <w:kern w:val="0"/>
                <w:sz w:val="24"/>
                <w:szCs w:val="24"/>
                <w:bdr w:val="none" w:color="auto" w:sz="0" w:space="0"/>
                <w:lang w:val="en-US" w:eastAsia="zh-CN" w:bidi="ar"/>
              </w:rPr>
              <w:t>100.0</w:t>
            </w:r>
          </w:p>
        </w:tc>
        <w:tc>
          <w:tcPr>
            <w:tcW w:w="13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333333"/>
                <w:kern w:val="0"/>
                <w:sz w:val="24"/>
                <w:szCs w:val="24"/>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348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宋体" w:hAnsi="宋体" w:eastAsia="宋体" w:cs="宋体"/>
                <w:color w:val="333333"/>
                <w:kern w:val="0"/>
                <w:sz w:val="24"/>
                <w:szCs w:val="24"/>
                <w:bdr w:val="none" w:color="auto" w:sz="0" w:space="0"/>
                <w:lang w:val="en-US" w:eastAsia="zh-CN" w:bidi="ar"/>
              </w:rPr>
              <w:t>老年协会城乡社区创建率（%）</w:t>
            </w:r>
          </w:p>
        </w:tc>
        <w:tc>
          <w:tcPr>
            <w:tcW w:w="1839"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333333"/>
                <w:kern w:val="0"/>
                <w:sz w:val="24"/>
                <w:szCs w:val="24"/>
                <w:bdr w:val="none" w:color="auto" w:sz="0" w:space="0"/>
                <w:lang w:val="en-US" w:eastAsia="zh-CN" w:bidi="ar"/>
              </w:rPr>
              <w:t>83.0</w:t>
            </w:r>
          </w:p>
        </w:tc>
        <w:tc>
          <w:tcPr>
            <w:tcW w:w="161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333333"/>
                <w:kern w:val="0"/>
                <w:sz w:val="24"/>
                <w:szCs w:val="24"/>
                <w:bdr w:val="none" w:color="auto" w:sz="0" w:space="0"/>
                <w:lang w:val="en-US" w:eastAsia="zh-CN" w:bidi="ar"/>
              </w:rPr>
              <w:t>87.5</w:t>
            </w:r>
          </w:p>
        </w:tc>
        <w:tc>
          <w:tcPr>
            <w:tcW w:w="13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333333"/>
                <w:kern w:val="0"/>
                <w:sz w:val="24"/>
                <w:szCs w:val="24"/>
                <w:bdr w:val="none" w:color="auto" w:sz="0" w:space="0"/>
                <w:lang w:val="en-US" w:eastAsia="zh-CN" w:bidi="ar"/>
              </w:rPr>
              <w:t>95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348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宋体" w:hAnsi="宋体" w:eastAsia="宋体" w:cs="宋体"/>
                <w:color w:val="333333"/>
                <w:kern w:val="0"/>
                <w:sz w:val="24"/>
                <w:szCs w:val="24"/>
                <w:bdr w:val="none" w:color="auto" w:sz="0" w:space="0"/>
                <w:lang w:val="en-US" w:eastAsia="zh-CN" w:bidi="ar"/>
              </w:rPr>
              <w:t>老年教育参与率（%）</w:t>
            </w:r>
          </w:p>
        </w:tc>
        <w:tc>
          <w:tcPr>
            <w:tcW w:w="1839"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333333"/>
                <w:kern w:val="0"/>
                <w:sz w:val="24"/>
                <w:szCs w:val="24"/>
                <w:bdr w:val="none" w:color="auto" w:sz="0" w:space="0"/>
                <w:lang w:val="en-US" w:eastAsia="zh-CN" w:bidi="ar"/>
              </w:rPr>
              <w:t>3.5</w:t>
            </w:r>
          </w:p>
        </w:tc>
        <w:tc>
          <w:tcPr>
            <w:tcW w:w="161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333333"/>
                <w:kern w:val="0"/>
                <w:sz w:val="24"/>
                <w:szCs w:val="24"/>
                <w:bdr w:val="none" w:color="auto" w:sz="0" w:space="0"/>
                <w:lang w:val="en-US" w:eastAsia="zh-CN" w:bidi="ar"/>
              </w:rPr>
              <w:t>5.0</w:t>
            </w:r>
          </w:p>
        </w:tc>
        <w:tc>
          <w:tcPr>
            <w:tcW w:w="13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333333"/>
                <w:kern w:val="0"/>
                <w:sz w:val="24"/>
                <w:szCs w:val="24"/>
                <w:bdr w:val="none" w:color="auto" w:sz="0" w:space="0"/>
                <w:lang w:val="en-US" w:eastAsia="zh-CN" w:bidi="ar"/>
              </w:rPr>
              <w:t>70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3487"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宋体" w:hAnsi="宋体" w:eastAsia="宋体" w:cs="宋体"/>
                <w:color w:val="333333"/>
                <w:kern w:val="0"/>
                <w:sz w:val="24"/>
                <w:szCs w:val="24"/>
                <w:bdr w:val="none" w:color="auto" w:sz="0" w:space="0"/>
                <w:lang w:val="en-US" w:eastAsia="zh-CN" w:bidi="ar"/>
              </w:rPr>
              <w:t>老年志愿者占比（%）</w:t>
            </w:r>
          </w:p>
        </w:tc>
        <w:tc>
          <w:tcPr>
            <w:tcW w:w="1839"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333333"/>
                <w:kern w:val="0"/>
                <w:sz w:val="24"/>
                <w:szCs w:val="24"/>
                <w:bdr w:val="none" w:color="auto" w:sz="0" w:space="0"/>
                <w:lang w:val="en-US" w:eastAsia="zh-CN" w:bidi="ar"/>
              </w:rPr>
              <w:t>11.0</w:t>
            </w:r>
          </w:p>
        </w:tc>
        <w:tc>
          <w:tcPr>
            <w:tcW w:w="1612"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333333"/>
                <w:kern w:val="0"/>
                <w:sz w:val="24"/>
                <w:szCs w:val="24"/>
                <w:bdr w:val="none" w:color="auto" w:sz="0" w:space="0"/>
                <w:lang w:val="en-US" w:eastAsia="zh-CN" w:bidi="ar"/>
              </w:rPr>
              <w:t>10.0</w:t>
            </w:r>
          </w:p>
        </w:tc>
        <w:tc>
          <w:tcPr>
            <w:tcW w:w="1366"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333333"/>
                <w:kern w:val="0"/>
                <w:sz w:val="24"/>
                <w:szCs w:val="24"/>
                <w:bdr w:val="none" w:color="auto" w:sz="0" w:space="0"/>
                <w:lang w:val="en-US" w:eastAsia="zh-CN" w:bidi="ar"/>
              </w:rPr>
              <w:t>110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320" w:right="0" w:hanging="840"/>
        <w:jc w:val="center"/>
      </w:pPr>
      <w:r>
        <w:rPr>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320" w:right="0" w:hanging="840"/>
        <w:jc w:val="center"/>
      </w:pPr>
      <w:r>
        <w:rPr>
          <w:rFonts w:hint="default" w:ascii="color:#333333;" w:hAnsi="color:#333333;" w:eastAsia="color:#333333;" w:cs="color:#333333;"/>
          <w:sz w:val="24"/>
          <w:szCs w:val="24"/>
          <w:bdr w:val="none" w:color="auto" w:sz="0" w:space="0"/>
        </w:rPr>
        <w:t>第二节  “十三五”时期面临的形势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default" w:ascii="color:#333333;" w:hAnsi="color:#333333;" w:eastAsia="color:#333333;" w:cs="color:#333333;"/>
          <w:kern w:val="0"/>
          <w:sz w:val="24"/>
          <w:szCs w:val="24"/>
          <w:bdr w:val="none" w:color="auto" w:sz="0" w:space="0"/>
          <w:lang w:val="en-US" w:eastAsia="zh-CN" w:bidi="ar"/>
        </w:rPr>
        <w:t>“十三五”时期是全面建成小康社会的决胜阶段，也是我省老龄事业改革发展和养老体系建设的重要战略窗口期。及时科学综合应对人口老龄化，深入推进老龄事业改革发展，机遇与挑战并存。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default" w:ascii="color:#333333;" w:hAnsi="color:#333333;" w:eastAsia="color:#333333;" w:cs="color:#333333;"/>
          <w:kern w:val="0"/>
          <w:sz w:val="24"/>
          <w:szCs w:val="24"/>
          <w:bdr w:val="none" w:color="auto" w:sz="0" w:space="0"/>
          <w:lang w:val="en-US" w:eastAsia="zh-CN" w:bidi="ar"/>
        </w:rPr>
        <w:t>人口老龄化形势严峻。“十三五”时期是我省人口老龄化快速发展期。预计到</w:t>
      </w:r>
      <w:r>
        <w:rPr>
          <w:rFonts w:hint="eastAsia" w:ascii="宋体" w:hAnsi="宋体" w:eastAsia="宋体" w:cs="宋体"/>
          <w:color w:val="333333"/>
          <w:kern w:val="0"/>
          <w:sz w:val="24"/>
          <w:szCs w:val="24"/>
          <w:bdr w:val="none" w:color="auto" w:sz="0" w:space="0"/>
          <w:lang w:val="en-US" w:eastAsia="zh-CN" w:bidi="ar"/>
        </w:rPr>
        <w:t>2020</w:t>
      </w:r>
      <w:r>
        <w:rPr>
          <w:rFonts w:hint="default" w:ascii="color:#333333;" w:hAnsi="color:#333333;" w:eastAsia="color:#333333;" w:cs="color:#333333;"/>
          <w:kern w:val="0"/>
          <w:sz w:val="24"/>
          <w:szCs w:val="24"/>
          <w:bdr w:val="none" w:color="auto" w:sz="0" w:space="0"/>
          <w:lang w:val="en-US" w:eastAsia="zh-CN" w:bidi="ar"/>
        </w:rPr>
        <w:t>年底，全省</w:t>
      </w:r>
      <w:r>
        <w:rPr>
          <w:rFonts w:hint="eastAsia" w:ascii="宋体" w:hAnsi="宋体" w:eastAsia="宋体" w:cs="宋体"/>
          <w:color w:val="333333"/>
          <w:kern w:val="0"/>
          <w:sz w:val="24"/>
          <w:szCs w:val="24"/>
          <w:bdr w:val="none" w:color="auto" w:sz="0" w:space="0"/>
          <w:lang w:val="en-US" w:eastAsia="zh-CN" w:bidi="ar"/>
        </w:rPr>
        <w:t>60</w:t>
      </w:r>
      <w:r>
        <w:rPr>
          <w:rFonts w:hint="default" w:ascii="color:#333333;" w:hAnsi="color:#333333;" w:eastAsia="color:#333333;" w:cs="color:#333333;"/>
          <w:kern w:val="0"/>
          <w:sz w:val="24"/>
          <w:szCs w:val="24"/>
          <w:bdr w:val="none" w:color="auto" w:sz="0" w:space="0"/>
          <w:lang w:val="en-US" w:eastAsia="zh-CN" w:bidi="ar"/>
        </w:rPr>
        <w:t>周岁以上年龄人口占常住人口比例</w:t>
      </w:r>
      <w:r>
        <w:rPr>
          <w:rFonts w:hint="eastAsia" w:ascii="宋体" w:hAnsi="宋体" w:eastAsia="宋体" w:cs="宋体"/>
          <w:color w:val="333333"/>
          <w:kern w:val="0"/>
          <w:sz w:val="24"/>
          <w:szCs w:val="24"/>
          <w:bdr w:val="none" w:color="auto" w:sz="0" w:space="0"/>
          <w:lang w:val="en-US" w:eastAsia="zh-CN" w:bidi="ar"/>
        </w:rPr>
        <w:t>18.4%</w:t>
      </w:r>
      <w:r>
        <w:rPr>
          <w:rFonts w:hint="default" w:ascii="color:#333333;" w:hAnsi="color:#333333;" w:eastAsia="color:#333333;" w:cs="color:#333333;"/>
          <w:kern w:val="0"/>
          <w:sz w:val="24"/>
          <w:szCs w:val="24"/>
          <w:bdr w:val="none" w:color="auto" w:sz="0" w:space="0"/>
          <w:lang w:val="en-US" w:eastAsia="zh-CN" w:bidi="ar"/>
        </w:rPr>
        <w:t>左右；高龄老人将接近</w:t>
      </w:r>
      <w:r>
        <w:rPr>
          <w:rFonts w:hint="eastAsia" w:ascii="宋体" w:hAnsi="宋体" w:eastAsia="宋体" w:cs="宋体"/>
          <w:color w:val="333333"/>
          <w:kern w:val="0"/>
          <w:sz w:val="24"/>
          <w:szCs w:val="24"/>
          <w:bdr w:val="none" w:color="auto" w:sz="0" w:space="0"/>
          <w:lang w:val="en-US" w:eastAsia="zh-CN" w:bidi="ar"/>
        </w:rPr>
        <w:t>270</w:t>
      </w:r>
      <w:r>
        <w:rPr>
          <w:rFonts w:hint="default" w:ascii="color:#333333;" w:hAnsi="color:#333333;" w:eastAsia="color:#333333;" w:cs="color:#333333;"/>
          <w:kern w:val="0"/>
          <w:sz w:val="24"/>
          <w:szCs w:val="24"/>
          <w:bdr w:val="none" w:color="auto" w:sz="0" w:space="0"/>
          <w:lang w:val="en-US" w:eastAsia="zh-CN" w:bidi="ar"/>
        </w:rPr>
        <w:t>万人，独居和空巢老年人将超过</w:t>
      </w:r>
      <w:r>
        <w:rPr>
          <w:rFonts w:hint="eastAsia" w:ascii="宋体" w:hAnsi="宋体" w:eastAsia="宋体" w:cs="宋体"/>
          <w:color w:val="333333"/>
          <w:kern w:val="0"/>
          <w:sz w:val="24"/>
          <w:szCs w:val="24"/>
          <w:bdr w:val="none" w:color="auto" w:sz="0" w:space="0"/>
          <w:lang w:val="en-US" w:eastAsia="zh-CN" w:bidi="ar"/>
        </w:rPr>
        <w:t>600</w:t>
      </w:r>
      <w:r>
        <w:rPr>
          <w:rFonts w:hint="default" w:ascii="color:#333333;" w:hAnsi="color:#333333;" w:eastAsia="color:#333333;" w:cs="color:#333333;"/>
          <w:kern w:val="0"/>
          <w:sz w:val="24"/>
          <w:szCs w:val="24"/>
          <w:bdr w:val="none" w:color="auto" w:sz="0" w:space="0"/>
          <w:lang w:val="en-US" w:eastAsia="zh-CN" w:bidi="ar"/>
        </w:rPr>
        <w:t>万人，老年抚养比将提高到</w:t>
      </w:r>
      <w:r>
        <w:rPr>
          <w:rFonts w:hint="eastAsia" w:ascii="宋体" w:hAnsi="宋体" w:eastAsia="宋体" w:cs="宋体"/>
          <w:color w:val="333333"/>
          <w:kern w:val="0"/>
          <w:sz w:val="24"/>
          <w:szCs w:val="24"/>
          <w:bdr w:val="none" w:color="auto" w:sz="0" w:space="0"/>
          <w:lang w:val="en-US" w:eastAsia="zh-CN" w:bidi="ar"/>
        </w:rPr>
        <w:t>30%</w:t>
      </w:r>
      <w:r>
        <w:rPr>
          <w:rFonts w:hint="default" w:ascii="color:#333333;" w:hAnsi="color:#333333;" w:eastAsia="color:#333333;" w:cs="color:#333333;"/>
          <w:kern w:val="0"/>
          <w:sz w:val="24"/>
          <w:szCs w:val="24"/>
          <w:bdr w:val="none" w:color="auto" w:sz="0" w:space="0"/>
          <w:lang w:val="en-US" w:eastAsia="zh-CN" w:bidi="ar"/>
        </w:rPr>
        <w:t>左右；用于老年人的社会保障支出将持续增长；农村实际居住人口老龄化程度可能进一步加深。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default" w:ascii="color:#333333;" w:hAnsi="color:#333333;" w:eastAsia="color:#333333;" w:cs="color:#333333;"/>
          <w:kern w:val="0"/>
          <w:sz w:val="24"/>
          <w:szCs w:val="24"/>
          <w:bdr w:val="none" w:color="auto" w:sz="0" w:space="0"/>
          <w:lang w:val="en-US" w:eastAsia="zh-CN" w:bidi="ar"/>
        </w:rPr>
        <w:t>老龄工作存在明显短板。全社会应对老龄化行动的积极性尚未完全调动起来，服务老年人、满足老年人各类需求的能力和措施缺乏完整性和制度安排。老龄事业发展区域之间、城乡之间不平衡、不协调、不可持续等问题明显。老年人权益保障水平偏低，养老服务人才短缺且素质不高，老龄产业发展活力不足，基层老龄组织发展缓慢，老年社会参与不充分，敬老爱老助老氛围不够浓厚，老龄宣传作用发挥不明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default" w:ascii="color:#333333;" w:hAnsi="color:#333333;" w:eastAsia="color:#333333;" w:cs="color:#333333;"/>
          <w:kern w:val="0"/>
          <w:sz w:val="24"/>
          <w:szCs w:val="24"/>
          <w:bdr w:val="none" w:color="auto" w:sz="0" w:space="0"/>
          <w:lang w:val="en-US" w:eastAsia="zh-CN" w:bidi="ar"/>
        </w:rPr>
        <w:t>老龄事业发展迎来重要机遇。党中央国务院、省委省政府越来越重视老龄事业发展和养老体系建设，“十三五”规划纲要对积极应对人口老龄化提出明确要求。如期全面建成小康社会对保障和改善全体老年人的民生提出更高要求。人口老龄化增速短期放缓，为应对人口老龄化提供难得的机会窗口。改革开放以来经济发展的长期积累和未来基本面长期向好为老龄事业改革发展提供物质条件。科技创新成果加快推广应用，劳动年龄人口仍较为充足，社会参与老龄事业发展积极性不断提高。老龄政策体系逐步完善，法治建设得到强化，以《安徽省实施〈中华人民共和国老年人权益保障法〉办法》为核心的政策法规为全省老龄工作发展提供了法制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37" w:right="0" w:hanging="1155"/>
        <w:jc w:val="center"/>
      </w:pPr>
      <w:r>
        <w:rPr>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37" w:right="0" w:hanging="1155"/>
        <w:jc w:val="center"/>
      </w:pPr>
      <w:r>
        <w:rPr>
          <w:rFonts w:hint="default" w:ascii="color:#333333;" w:hAnsi="color:#333333;" w:eastAsia="color:#333333;" w:cs="color:#333333;"/>
          <w:b/>
          <w:sz w:val="24"/>
          <w:szCs w:val="24"/>
          <w:bdr w:val="none" w:color="auto" w:sz="0" w:space="0"/>
        </w:rPr>
        <w:t>第二章     指导思想、基本原则和发展目标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560" w:right="0" w:hanging="1080"/>
        <w:jc w:val="center"/>
      </w:pPr>
      <w:r>
        <w:rPr>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560" w:right="0" w:hanging="1080"/>
        <w:jc w:val="center"/>
      </w:pPr>
      <w:r>
        <w:rPr>
          <w:rFonts w:hint="default" w:ascii="color:#333333;" w:hAnsi="color:#333333;" w:eastAsia="color:#333333;" w:cs="color:#333333;"/>
          <w:sz w:val="24"/>
          <w:szCs w:val="24"/>
          <w:bdr w:val="none" w:color="auto" w:sz="0" w:space="0"/>
        </w:rPr>
        <w:t>第一节     指导思想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default" w:ascii="color:#333333;" w:hAnsi="color:#333333;" w:eastAsia="color:#333333;" w:cs="color:#333333;"/>
          <w:kern w:val="0"/>
          <w:sz w:val="24"/>
          <w:szCs w:val="24"/>
          <w:bdr w:val="none" w:color="auto" w:sz="0" w:space="0"/>
          <w:lang w:val="en-US" w:eastAsia="zh-CN" w:bidi="ar"/>
        </w:rPr>
        <w:t>高举中国特色社会主义伟大旗帜，全面贯彻党的十八大和十八届三中、四中、五中、六中全会精神，深入贯彻习近平总书记系列重要讲话精神和治国理政新理念新思想新战略，认真落实党中央、国务院决策部署，统筹推进“五位一体”总体布局和协调推进“四个全面”战略布局，牢固树立和贯彻落实创新、协调、绿色、开放、共享的发展理念，坚持党委领导、政府主导、社会参与、全民行动相结合，把老年群体同步进入全面小康社会作为发展老龄事业的出发点和落脚点，挖掘人口老龄化给全省发展带来的活力和机遇，着力加强全社会积极应对人口老龄化的各方面工作，着力完善老龄政策制度，着力加强老年人民生保障和服务供给，着力发挥老年人积极作用，着力改善老龄事业发展和养老体系建设支撑条件，努力满足老年人日益增长的物质文化需求，确保全省老年人共享全面建成小康社会新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560" w:right="0" w:hanging="1080"/>
        <w:jc w:val="center"/>
      </w:pPr>
      <w:r>
        <w:rPr>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560" w:right="0" w:hanging="1080"/>
        <w:jc w:val="center"/>
      </w:pPr>
      <w:r>
        <w:rPr>
          <w:rFonts w:hint="default" w:ascii="color:#333333;" w:hAnsi="color:#333333;" w:eastAsia="color:#333333;" w:cs="color:#333333;"/>
          <w:sz w:val="24"/>
          <w:szCs w:val="24"/>
          <w:bdr w:val="none" w:color="auto" w:sz="0" w:space="0"/>
        </w:rPr>
        <w:t>第二节     基本原则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default" w:ascii="color:#333333;" w:hAnsi="color:#333333;" w:eastAsia="color:#333333;" w:cs="color:#333333;"/>
          <w:kern w:val="0"/>
          <w:sz w:val="24"/>
          <w:szCs w:val="24"/>
          <w:bdr w:val="none" w:color="auto" w:sz="0" w:space="0"/>
          <w:lang w:val="en-US" w:eastAsia="zh-CN" w:bidi="ar"/>
        </w:rPr>
        <w:t>以人为本，共建共享。坚持保障和改善老年人民生，逐步增进老年人福祉，大力弘扬敬老养老助老优秀传统文化，尊重老年人社会主体地位，为老年人参与社会发展、社会力量参与老龄事业发展和养老体系建设提供更多更好支持，实现不分年龄、人人共建共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default" w:ascii="color:#333333;" w:hAnsi="color:#333333;" w:eastAsia="color:#333333;" w:cs="color:#333333;"/>
          <w:kern w:val="0"/>
          <w:sz w:val="24"/>
          <w:szCs w:val="24"/>
          <w:bdr w:val="none" w:color="auto" w:sz="0" w:space="0"/>
          <w:lang w:val="en-US" w:eastAsia="zh-CN" w:bidi="ar"/>
        </w:rPr>
        <w:t>改革创新，激发活力。坚持政府引导、市场驱动，充分发挥市场在资源配置中的决定性作用，深化简政放权、放管结合、优化服务改革，不断增强政府依法履职能力，加快形成统一开放、竞争有序的市场体系，保障公平竞争，改善营商环境，支持创业创新，激发市场活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default" w:ascii="color:#333333;" w:hAnsi="color:#333333;" w:eastAsia="color:#333333;" w:cs="color:#333333;"/>
          <w:kern w:val="0"/>
          <w:sz w:val="24"/>
          <w:szCs w:val="24"/>
          <w:bdr w:val="none" w:color="auto" w:sz="0" w:space="0"/>
          <w:lang w:val="en-US" w:eastAsia="zh-CN" w:bidi="ar"/>
        </w:rPr>
        <w:t>补齐短板，提质增效。坚持目标导向和问题导向相统一，着力保基本、兜底线、补短板、调结构，强化老龄事业发展重点领域和薄弱环节，不断健全完善社会保障制度体系，促进资源合理优化配置，加大投入力度，有效保障面向老年人的基本公共服务供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default" w:ascii="color:#333333;" w:hAnsi="color:#333333;" w:eastAsia="color:#333333;" w:cs="color:#333333;"/>
          <w:kern w:val="0"/>
          <w:sz w:val="24"/>
          <w:szCs w:val="24"/>
          <w:bdr w:val="none" w:color="auto" w:sz="0" w:space="0"/>
          <w:lang w:val="en-US" w:eastAsia="zh-CN" w:bidi="ar"/>
        </w:rPr>
        <w:t>统筹发展，突出特点。紧紧围绕全面建成小康社会的中心任务，把老龄事业发展融入经济社会发展全局。坚持从省情出发，找准老龄事业发展的切入点和着力点，重点打造安徽老龄工作品牌，促进老龄事业发展和养老体系建设城乡协调、区域协调、事业产业协调，统筹做好老年人经济保障、服务保障和精神关爱等制度安排，推动老龄事业全面协调可持续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eastAsia" w:ascii="宋体" w:hAnsi="宋体" w:eastAsia="宋体" w:cs="宋体"/>
          <w:color w:val="333333"/>
          <w:kern w:val="0"/>
          <w:sz w:val="24"/>
          <w:szCs w:val="24"/>
          <w:bdr w:val="none" w:color="auto" w:sz="0" w:space="0"/>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560" w:right="0" w:hanging="1080"/>
        <w:jc w:val="center"/>
      </w:pPr>
      <w:r>
        <w:rPr>
          <w:rFonts w:hint="default" w:ascii="color:#333333;" w:hAnsi="color:#333333;" w:eastAsia="color:#333333;" w:cs="color:#333333;"/>
          <w:sz w:val="24"/>
          <w:szCs w:val="24"/>
          <w:bdr w:val="none" w:color="auto" w:sz="0" w:space="0"/>
        </w:rPr>
        <w:t>第三节     发展目标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default" w:ascii="color:#333333;" w:hAnsi="color:#333333;" w:eastAsia="color:#333333;" w:cs="color:#333333;"/>
          <w:kern w:val="0"/>
          <w:sz w:val="24"/>
          <w:szCs w:val="24"/>
          <w:bdr w:val="none" w:color="auto" w:sz="0" w:space="0"/>
          <w:lang w:val="en-US" w:eastAsia="zh-CN" w:bidi="ar"/>
        </w:rPr>
        <w:t>到</w:t>
      </w:r>
      <w:r>
        <w:rPr>
          <w:rFonts w:hint="eastAsia" w:ascii="宋体" w:hAnsi="宋体" w:eastAsia="宋体" w:cs="宋体"/>
          <w:color w:val="333333"/>
          <w:kern w:val="0"/>
          <w:sz w:val="24"/>
          <w:szCs w:val="24"/>
          <w:bdr w:val="none" w:color="auto" w:sz="0" w:space="0"/>
          <w:lang w:val="en-US" w:eastAsia="zh-CN" w:bidi="ar"/>
        </w:rPr>
        <w:t>2020</w:t>
      </w:r>
      <w:r>
        <w:rPr>
          <w:rFonts w:hint="default" w:ascii="color:#333333;" w:hAnsi="color:#333333;" w:eastAsia="color:#333333;" w:cs="color:#333333;"/>
          <w:kern w:val="0"/>
          <w:sz w:val="24"/>
          <w:szCs w:val="24"/>
          <w:bdr w:val="none" w:color="auto" w:sz="0" w:space="0"/>
          <w:lang w:val="en-US" w:eastAsia="zh-CN" w:bidi="ar"/>
        </w:rPr>
        <w:t>年，老龄事业发展整体水平明显提升，养老体系更加健全完善，及时应对、科学应对、综合应对人口老龄化的社会基础更加牢固，全省老年人同步进入全面小康。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default" w:ascii="color:#333333;" w:hAnsi="color:#333333;" w:eastAsia="color:#333333;" w:cs="color:#333333;"/>
          <w:kern w:val="0"/>
          <w:sz w:val="24"/>
          <w:szCs w:val="24"/>
          <w:bdr w:val="none" w:color="auto" w:sz="0" w:space="0"/>
          <w:lang w:val="en-US" w:eastAsia="zh-CN" w:bidi="ar"/>
        </w:rPr>
        <w:t>多支柱、全覆盖、更加公平、更可持续的社会保障体系更加完善。城镇职工和城乡居民基本养老保险参保率稳定在</w:t>
      </w:r>
      <w:r>
        <w:rPr>
          <w:rFonts w:hint="eastAsia" w:ascii="宋体" w:hAnsi="宋体" w:eastAsia="宋体" w:cs="宋体"/>
          <w:color w:val="333333"/>
          <w:kern w:val="0"/>
          <w:sz w:val="24"/>
          <w:szCs w:val="24"/>
          <w:bdr w:val="none" w:color="auto" w:sz="0" w:space="0"/>
          <w:lang w:val="en-US" w:eastAsia="zh-CN" w:bidi="ar"/>
        </w:rPr>
        <w:t>95%</w:t>
      </w:r>
      <w:r>
        <w:rPr>
          <w:rFonts w:hint="default" w:ascii="color:#333333;" w:hAnsi="color:#333333;" w:eastAsia="color:#333333;" w:cs="color:#333333;"/>
          <w:kern w:val="0"/>
          <w:sz w:val="24"/>
          <w:szCs w:val="24"/>
          <w:bdr w:val="none" w:color="auto" w:sz="0" w:space="0"/>
          <w:lang w:val="en-US" w:eastAsia="zh-CN" w:bidi="ar"/>
        </w:rPr>
        <w:t>以上，基本医疗保险参保率稳定在</w:t>
      </w:r>
      <w:r>
        <w:rPr>
          <w:rFonts w:hint="eastAsia" w:ascii="宋体" w:hAnsi="宋体" w:eastAsia="宋体" w:cs="宋体"/>
          <w:color w:val="333333"/>
          <w:kern w:val="0"/>
          <w:sz w:val="24"/>
          <w:szCs w:val="24"/>
          <w:bdr w:val="none" w:color="auto" w:sz="0" w:space="0"/>
          <w:lang w:val="en-US" w:eastAsia="zh-CN" w:bidi="ar"/>
        </w:rPr>
        <w:t>95%</w:t>
      </w:r>
      <w:r>
        <w:rPr>
          <w:rFonts w:hint="default" w:ascii="color:#333333;" w:hAnsi="color:#333333;" w:eastAsia="color:#333333;" w:cs="color:#333333;"/>
          <w:kern w:val="0"/>
          <w:sz w:val="24"/>
          <w:szCs w:val="24"/>
          <w:bdr w:val="none" w:color="auto" w:sz="0" w:space="0"/>
          <w:lang w:val="en-US" w:eastAsia="zh-CN" w:bidi="ar"/>
        </w:rPr>
        <w:t>以上，社会保险、社会福利、社会救助等社会保障制度和公益慈善事业有效衔接，老年人的基本生活、基本医疗、基本照护等需求得到切实保障。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default" w:ascii="color:#333333;" w:hAnsi="color:#333333;" w:eastAsia="color:#333333;" w:cs="color:#333333;"/>
          <w:kern w:val="0"/>
          <w:sz w:val="24"/>
          <w:szCs w:val="24"/>
          <w:bdr w:val="none" w:color="auto" w:sz="0" w:space="0"/>
          <w:lang w:val="en-US" w:eastAsia="zh-CN" w:bidi="ar"/>
        </w:rPr>
        <w:t>居家为基础、社区为依托、机构为补充、医养相结合的养老服务体系更加健全。养老服务供给能力大幅提高、质量明显改善、结构更加合理，多层次、多样化的养老服务更加方便可及，居家养老基础地位更加扎实。符合标准的社区养老服务设施覆盖所有城市社区，乡镇社区养老服务设施覆盖率稳定在</w:t>
      </w:r>
      <w:r>
        <w:rPr>
          <w:rFonts w:hint="eastAsia" w:ascii="宋体" w:hAnsi="宋体" w:eastAsia="宋体" w:cs="宋体"/>
          <w:color w:val="333333"/>
          <w:kern w:val="0"/>
          <w:sz w:val="24"/>
          <w:szCs w:val="24"/>
          <w:bdr w:val="none" w:color="auto" w:sz="0" w:space="0"/>
          <w:lang w:val="en-US" w:eastAsia="zh-CN" w:bidi="ar"/>
        </w:rPr>
        <w:t>90%</w:t>
      </w:r>
      <w:r>
        <w:rPr>
          <w:rFonts w:hint="default" w:ascii="color:#333333;" w:hAnsi="color:#333333;" w:eastAsia="color:#333333;" w:cs="color:#333333;"/>
          <w:kern w:val="0"/>
          <w:sz w:val="24"/>
          <w:szCs w:val="24"/>
          <w:bdr w:val="none" w:color="auto" w:sz="0" w:space="0"/>
          <w:lang w:val="en-US" w:eastAsia="zh-CN" w:bidi="ar"/>
        </w:rPr>
        <w:t>以上，农村社区养老服务设施覆盖率稳定在</w:t>
      </w:r>
      <w:r>
        <w:rPr>
          <w:rFonts w:hint="eastAsia" w:ascii="宋体" w:hAnsi="宋体" w:eastAsia="宋体" w:cs="宋体"/>
          <w:color w:val="333333"/>
          <w:kern w:val="0"/>
          <w:sz w:val="24"/>
          <w:szCs w:val="24"/>
          <w:bdr w:val="none" w:color="auto" w:sz="0" w:space="0"/>
          <w:lang w:val="en-US" w:eastAsia="zh-CN" w:bidi="ar"/>
        </w:rPr>
        <w:t>80%</w:t>
      </w:r>
      <w:r>
        <w:rPr>
          <w:rFonts w:hint="default" w:ascii="color:#333333;" w:hAnsi="color:#333333;" w:eastAsia="color:#333333;" w:cs="color:#333333;"/>
          <w:kern w:val="0"/>
          <w:sz w:val="24"/>
          <w:szCs w:val="24"/>
          <w:bdr w:val="none" w:color="auto" w:sz="0" w:space="0"/>
          <w:lang w:val="en-US" w:eastAsia="zh-CN" w:bidi="ar"/>
        </w:rPr>
        <w:t>以上，政府运营的养老床位数占当地养老床位总数的比例不超过</w:t>
      </w:r>
      <w:r>
        <w:rPr>
          <w:rFonts w:hint="eastAsia" w:ascii="宋体" w:hAnsi="宋体" w:eastAsia="宋体" w:cs="宋体"/>
          <w:color w:val="333333"/>
          <w:kern w:val="0"/>
          <w:sz w:val="24"/>
          <w:szCs w:val="24"/>
          <w:bdr w:val="none" w:color="auto" w:sz="0" w:space="0"/>
          <w:lang w:val="en-US" w:eastAsia="zh-CN" w:bidi="ar"/>
        </w:rPr>
        <w:t>30%</w:t>
      </w:r>
      <w:r>
        <w:rPr>
          <w:rFonts w:hint="default" w:ascii="color:#333333;" w:hAnsi="color:#333333;" w:eastAsia="color:#333333;" w:cs="color:#333333;"/>
          <w:kern w:val="0"/>
          <w:sz w:val="24"/>
          <w:szCs w:val="24"/>
          <w:bdr w:val="none" w:color="auto" w:sz="0" w:space="0"/>
          <w:lang w:val="en-US" w:eastAsia="zh-CN" w:bidi="ar"/>
        </w:rPr>
        <w:t>，护理型床位占养老床位总数的比例不低于</w:t>
      </w:r>
      <w:r>
        <w:rPr>
          <w:rFonts w:hint="eastAsia" w:ascii="宋体" w:hAnsi="宋体" w:eastAsia="宋体" w:cs="宋体"/>
          <w:color w:val="333333"/>
          <w:kern w:val="0"/>
          <w:sz w:val="24"/>
          <w:szCs w:val="24"/>
          <w:bdr w:val="none" w:color="auto" w:sz="0" w:space="0"/>
          <w:lang w:val="en-US" w:eastAsia="zh-CN" w:bidi="ar"/>
        </w:rPr>
        <w:t>30%</w:t>
      </w:r>
      <w:r>
        <w:rPr>
          <w:rFonts w:hint="default" w:ascii="color:#333333;" w:hAnsi="color:#333333;" w:eastAsia="color:#333333;" w:cs="color:#333333;"/>
          <w:kern w:val="0"/>
          <w:sz w:val="24"/>
          <w:szCs w:val="24"/>
          <w:bdr w:val="none" w:color="auto" w:sz="0" w:space="0"/>
          <w:lang w:val="en-US" w:eastAsia="zh-CN" w:bidi="ar"/>
        </w:rPr>
        <w:t>，</w:t>
      </w:r>
      <w:r>
        <w:rPr>
          <w:rFonts w:hint="eastAsia" w:ascii="宋体" w:hAnsi="宋体" w:eastAsia="宋体" w:cs="宋体"/>
          <w:color w:val="333333"/>
          <w:kern w:val="0"/>
          <w:sz w:val="24"/>
          <w:szCs w:val="24"/>
          <w:bdr w:val="none" w:color="auto" w:sz="0" w:space="0"/>
          <w:lang w:val="en-US" w:eastAsia="zh-CN" w:bidi="ar"/>
        </w:rPr>
        <w:t>65</w:t>
      </w:r>
      <w:r>
        <w:rPr>
          <w:rFonts w:hint="default" w:ascii="color:#333333;" w:hAnsi="color:#333333;" w:eastAsia="color:#333333;" w:cs="color:#333333;"/>
          <w:kern w:val="0"/>
          <w:sz w:val="24"/>
          <w:szCs w:val="24"/>
          <w:bdr w:val="none" w:color="auto" w:sz="0" w:space="0"/>
          <w:lang w:val="en-US" w:eastAsia="zh-CN" w:bidi="ar"/>
        </w:rPr>
        <w:t>周岁以上老年人健康管理率力争达到</w:t>
      </w:r>
      <w:r>
        <w:rPr>
          <w:rFonts w:hint="eastAsia" w:ascii="宋体" w:hAnsi="宋体" w:eastAsia="宋体" w:cs="宋体"/>
          <w:color w:val="333333"/>
          <w:kern w:val="0"/>
          <w:sz w:val="24"/>
          <w:szCs w:val="24"/>
          <w:bdr w:val="none" w:color="auto" w:sz="0" w:space="0"/>
          <w:lang w:val="en-US" w:eastAsia="zh-CN" w:bidi="ar"/>
        </w:rPr>
        <w:t>80%</w:t>
      </w:r>
      <w:r>
        <w:rPr>
          <w:rFonts w:hint="default" w:ascii="color:#333333;" w:hAnsi="color:#333333;" w:eastAsia="color:#333333;" w:cs="color:#333333;"/>
          <w:kern w:val="0"/>
          <w:sz w:val="24"/>
          <w:szCs w:val="24"/>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default" w:ascii="color:#333333;" w:hAnsi="color:#333333;" w:eastAsia="color:#333333;" w:cs="color:#333333;"/>
          <w:kern w:val="0"/>
          <w:sz w:val="24"/>
          <w:szCs w:val="24"/>
          <w:bdr w:val="none" w:color="auto" w:sz="0" w:space="0"/>
          <w:lang w:val="en-US" w:eastAsia="zh-CN" w:bidi="ar"/>
        </w:rPr>
        <w:t>有利于政府和市场作用充分发挥的制度体系更加完备。老龄事业发展和养老体系建设的法治化、信息化、标准化、规范化程度明显提高。政府职能转变、“放管服”改革、行政效能提升成效显著。市场活力和社会创造力得到充分激发，养老服务和产品供给主体更加多元、内容更加丰富、质量更加优良，以信用为核心的新型市场监管机制建立完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default" w:ascii="color:#333333;" w:hAnsi="color:#333333;" w:eastAsia="color:#333333;" w:cs="color:#333333;"/>
          <w:kern w:val="0"/>
          <w:sz w:val="24"/>
          <w:szCs w:val="24"/>
          <w:bdr w:val="none" w:color="auto" w:sz="0" w:space="0"/>
          <w:lang w:val="en-US" w:eastAsia="zh-CN" w:bidi="ar"/>
        </w:rPr>
        <w:t>支持老龄事业发展和养老体系建设的社会环境更加友好。全社会积极应对人口老龄化、自觉支持老龄事业发展和养老体系建设的意识意愿显著增强，老龄事业法治化水平显著提高，敬老养老助老社会风尚更加浓厚，安全绿色便利舒适的老年宜居环境建设扎实推进，老年文化体育教育事业更加繁荣发展，老年人精神文化生活更加丰富，老年人参与社会发展的条件持续改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eastAsia" w:ascii="宋体" w:hAnsi="宋体" w:eastAsia="宋体" w:cs="宋体"/>
          <w:color w:val="333333"/>
          <w:kern w:val="0"/>
          <w:sz w:val="24"/>
          <w:szCs w:val="24"/>
          <w:bdr w:val="none" w:color="auto" w:sz="0" w:space="0"/>
          <w:lang w:val="en-US" w:eastAsia="zh-CN" w:bidi="ar"/>
        </w:rPr>
        <w:t> </w:t>
      </w:r>
      <w:r>
        <w:rPr>
          <w:rFonts w:asciiTheme="minorHAnsi" w:hAnsiTheme="minorHAnsi" w:eastAsiaTheme="minorEastAsia" w:cstheme="minorBidi"/>
          <w:kern w:val="0"/>
          <w:sz w:val="24"/>
          <w:szCs w:val="24"/>
          <w:bdr w:val="none" w:color="auto" w:sz="0" w:space="0"/>
          <w:lang w:val="en-US" w:eastAsia="zh-CN" w:bidi="ar"/>
        </w:rPr>
        <w:t>  </w:t>
      </w:r>
    </w:p>
    <w:tbl>
      <w:tblPr>
        <w:tblW w:w="8305" w:type="dxa"/>
        <w:tblInd w:w="0" w:type="dxa"/>
        <w:shd w:val="clear"/>
        <w:tblLayout w:type="fixed"/>
        <w:tblCellMar>
          <w:top w:w="0" w:type="dxa"/>
          <w:left w:w="0" w:type="dxa"/>
          <w:bottom w:w="0" w:type="dxa"/>
          <w:right w:w="0" w:type="dxa"/>
        </w:tblCellMar>
      </w:tblPr>
      <w:tblGrid>
        <w:gridCol w:w="1204"/>
        <w:gridCol w:w="5925"/>
        <w:gridCol w:w="1176"/>
      </w:tblGrid>
      <w:tr>
        <w:tblPrEx>
          <w:shd w:val="clear"/>
          <w:tblLayout w:type="fixed"/>
          <w:tblCellMar>
            <w:top w:w="0" w:type="dxa"/>
            <w:left w:w="0" w:type="dxa"/>
            <w:bottom w:w="0" w:type="dxa"/>
            <w:right w:w="0" w:type="dxa"/>
          </w:tblCellMar>
        </w:tblPrEx>
        <w:tc>
          <w:tcPr>
            <w:tcW w:w="8305" w:type="dxa"/>
            <w:gridSpan w:val="3"/>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333333"/>
                <w:kern w:val="0"/>
                <w:sz w:val="24"/>
                <w:szCs w:val="24"/>
                <w:bdr w:val="none" w:color="auto" w:sz="0" w:space="0"/>
                <w:lang w:val="en-US" w:eastAsia="zh-CN" w:bidi="ar"/>
              </w:rPr>
              <w:t>专栏2　</w:t>
            </w:r>
            <w:r>
              <w:rPr>
                <w:rFonts w:hint="default" w:ascii="color:#333333;" w:hAnsi="color:#333333;" w:eastAsia="color:#333333;" w:cs="color:#333333;"/>
                <w:color w:val="333333"/>
                <w:kern w:val="0"/>
                <w:sz w:val="24"/>
                <w:szCs w:val="24"/>
                <w:bdr w:val="none" w:color="auto" w:sz="0" w:space="0"/>
                <w:lang w:val="en-US" w:eastAsia="zh-CN" w:bidi="ar"/>
              </w:rPr>
              <w:t>“</w:t>
            </w:r>
            <w:r>
              <w:rPr>
                <w:rFonts w:hint="eastAsia" w:ascii="宋体" w:hAnsi="宋体" w:eastAsia="宋体" w:cs="宋体"/>
                <w:color w:val="333333"/>
                <w:kern w:val="0"/>
                <w:sz w:val="24"/>
                <w:szCs w:val="24"/>
                <w:bdr w:val="none" w:color="auto" w:sz="0" w:space="0"/>
                <w:lang w:val="en-US" w:eastAsia="zh-CN" w:bidi="ar"/>
              </w:rPr>
              <w:t>十三五</w:t>
            </w:r>
            <w:r>
              <w:rPr>
                <w:rFonts w:hint="default" w:ascii="color:#333333;" w:hAnsi="color:#333333;" w:eastAsia="color:#333333;" w:cs="color:#333333;"/>
                <w:color w:val="333333"/>
                <w:kern w:val="0"/>
                <w:sz w:val="24"/>
                <w:szCs w:val="24"/>
                <w:bdr w:val="none" w:color="auto" w:sz="0" w:space="0"/>
                <w:lang w:val="en-US" w:eastAsia="zh-CN" w:bidi="ar"/>
              </w:rPr>
              <w:t>”</w:t>
            </w:r>
            <w:r>
              <w:rPr>
                <w:rFonts w:hint="eastAsia" w:ascii="宋体" w:hAnsi="宋体" w:eastAsia="宋体" w:cs="宋体"/>
                <w:color w:val="333333"/>
                <w:kern w:val="0"/>
                <w:sz w:val="24"/>
                <w:szCs w:val="24"/>
                <w:bdr w:val="none" w:color="auto" w:sz="0" w:space="0"/>
                <w:lang w:val="en-US" w:eastAsia="zh-CN" w:bidi="ar"/>
              </w:rPr>
              <w:t>期间安徽省老龄事业发展和养老体系建设主要指标</w:t>
            </w:r>
          </w:p>
        </w:tc>
      </w:tr>
      <w:tr>
        <w:tblPrEx>
          <w:tblLayout w:type="fixed"/>
          <w:tblCellMar>
            <w:top w:w="0" w:type="dxa"/>
            <w:left w:w="0" w:type="dxa"/>
            <w:bottom w:w="0" w:type="dxa"/>
            <w:right w:w="0" w:type="dxa"/>
          </w:tblCellMar>
        </w:tblPrEx>
        <w:tc>
          <w:tcPr>
            <w:tcW w:w="120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333333"/>
                <w:kern w:val="0"/>
                <w:sz w:val="24"/>
                <w:szCs w:val="24"/>
                <w:bdr w:val="none" w:color="auto" w:sz="0" w:space="0"/>
                <w:lang w:val="en-US" w:eastAsia="zh-CN" w:bidi="ar"/>
              </w:rPr>
              <w:t>类  别</w:t>
            </w:r>
          </w:p>
        </w:tc>
        <w:tc>
          <w:tcPr>
            <w:tcW w:w="592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color:#333333;" w:hAnsi="color:#333333;" w:eastAsia="color:#333333;" w:cs="color:#333333;"/>
                <w:color w:val="333333"/>
                <w:kern w:val="0"/>
                <w:sz w:val="24"/>
                <w:szCs w:val="24"/>
                <w:bdr w:val="none" w:color="auto" w:sz="0" w:space="0"/>
                <w:lang w:val="en-US" w:eastAsia="zh-CN" w:bidi="ar"/>
              </w:rPr>
              <w:t>                    </w:t>
            </w:r>
            <w:r>
              <w:rPr>
                <w:rFonts w:hint="eastAsia" w:ascii="宋体" w:hAnsi="宋体" w:eastAsia="宋体" w:cs="宋体"/>
                <w:color w:val="333333"/>
                <w:kern w:val="0"/>
                <w:sz w:val="24"/>
                <w:szCs w:val="24"/>
                <w:bdr w:val="none" w:color="auto" w:sz="0" w:space="0"/>
                <w:lang w:val="en-US" w:eastAsia="zh-CN" w:bidi="ar"/>
              </w:rPr>
              <w:t>指      标</w:t>
            </w:r>
          </w:p>
        </w:tc>
        <w:tc>
          <w:tcPr>
            <w:tcW w:w="117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333333"/>
                <w:kern w:val="0"/>
                <w:sz w:val="24"/>
                <w:szCs w:val="24"/>
                <w:bdr w:val="none" w:color="auto" w:sz="0" w:space="0"/>
                <w:lang w:val="en-US" w:eastAsia="zh-CN" w:bidi="ar"/>
              </w:rPr>
              <w:t>目标值</w:t>
            </w:r>
          </w:p>
        </w:tc>
      </w:tr>
      <w:tr>
        <w:tblPrEx>
          <w:tblLayout w:type="fixed"/>
          <w:tblCellMar>
            <w:top w:w="0" w:type="dxa"/>
            <w:left w:w="0" w:type="dxa"/>
            <w:bottom w:w="0" w:type="dxa"/>
            <w:right w:w="0" w:type="dxa"/>
          </w:tblCellMar>
        </w:tblPrEx>
        <w:tc>
          <w:tcPr>
            <w:tcW w:w="1204"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333333"/>
                <w:kern w:val="0"/>
                <w:sz w:val="24"/>
                <w:szCs w:val="24"/>
                <w:bdr w:val="none" w:color="auto" w:sz="0" w:space="0"/>
                <w:lang w:val="en-US" w:eastAsia="zh-CN" w:bidi="ar"/>
              </w:rPr>
              <w:t>社会保障</w:t>
            </w:r>
          </w:p>
        </w:tc>
        <w:tc>
          <w:tcPr>
            <w:tcW w:w="592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宋体" w:hAnsi="宋体" w:eastAsia="宋体" w:cs="宋体"/>
                <w:color w:val="333333"/>
                <w:kern w:val="0"/>
                <w:sz w:val="24"/>
                <w:szCs w:val="24"/>
                <w:bdr w:val="none" w:color="auto" w:sz="0" w:space="0"/>
                <w:lang w:val="en-US" w:eastAsia="zh-CN" w:bidi="ar"/>
              </w:rPr>
              <w:t>基本养老保险参保率</w:t>
            </w:r>
          </w:p>
        </w:tc>
        <w:tc>
          <w:tcPr>
            <w:tcW w:w="117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333333"/>
                <w:kern w:val="0"/>
                <w:sz w:val="24"/>
                <w:szCs w:val="24"/>
                <w:bdr w:val="none" w:color="auto" w:sz="0" w:space="0"/>
                <w:lang w:val="en-US" w:eastAsia="zh-CN" w:bidi="ar"/>
              </w:rPr>
              <w:t>95%以上</w:t>
            </w:r>
          </w:p>
        </w:tc>
      </w:tr>
      <w:tr>
        <w:tblPrEx>
          <w:tblLayout w:type="fixed"/>
          <w:tblCellMar>
            <w:top w:w="0" w:type="dxa"/>
            <w:left w:w="0" w:type="dxa"/>
            <w:bottom w:w="0" w:type="dxa"/>
            <w:right w:w="0" w:type="dxa"/>
          </w:tblCellMar>
        </w:tblPrEx>
        <w:tc>
          <w:tcPr>
            <w:tcW w:w="1204"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eastAsia" w:ascii="宋体" w:hAnsi="宋体" w:eastAsia="宋体" w:cs="宋体"/>
                <w:color w:val="333333"/>
                <w:sz w:val="18"/>
                <w:szCs w:val="18"/>
              </w:rPr>
            </w:pPr>
          </w:p>
        </w:tc>
        <w:tc>
          <w:tcPr>
            <w:tcW w:w="592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宋体" w:hAnsi="宋体" w:eastAsia="宋体" w:cs="宋体"/>
                <w:color w:val="333333"/>
                <w:kern w:val="0"/>
                <w:sz w:val="24"/>
                <w:szCs w:val="24"/>
                <w:bdr w:val="none" w:color="auto" w:sz="0" w:space="0"/>
                <w:lang w:val="en-US" w:eastAsia="zh-CN" w:bidi="ar"/>
              </w:rPr>
              <w:t>基本医疗保险参保率</w:t>
            </w:r>
          </w:p>
        </w:tc>
        <w:tc>
          <w:tcPr>
            <w:tcW w:w="117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333333"/>
                <w:kern w:val="0"/>
                <w:sz w:val="24"/>
                <w:szCs w:val="24"/>
                <w:bdr w:val="none" w:color="auto" w:sz="0" w:space="0"/>
                <w:lang w:val="en-US" w:eastAsia="zh-CN" w:bidi="ar"/>
              </w:rPr>
              <w:t>95%以上</w:t>
            </w:r>
          </w:p>
        </w:tc>
      </w:tr>
      <w:tr>
        <w:tblPrEx>
          <w:tblLayout w:type="fixed"/>
          <w:tblCellMar>
            <w:top w:w="0" w:type="dxa"/>
            <w:left w:w="0" w:type="dxa"/>
            <w:bottom w:w="0" w:type="dxa"/>
            <w:right w:w="0" w:type="dxa"/>
          </w:tblCellMar>
        </w:tblPrEx>
        <w:tc>
          <w:tcPr>
            <w:tcW w:w="1204"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333333"/>
                <w:kern w:val="0"/>
                <w:sz w:val="24"/>
                <w:szCs w:val="24"/>
                <w:bdr w:val="none" w:color="auto" w:sz="0" w:space="0"/>
                <w:lang w:val="en-US" w:eastAsia="zh-CN" w:bidi="ar"/>
              </w:rPr>
              <w:t>养老服务</w:t>
            </w:r>
          </w:p>
        </w:tc>
        <w:tc>
          <w:tcPr>
            <w:tcW w:w="592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宋体" w:hAnsi="宋体" w:eastAsia="宋体" w:cs="宋体"/>
                <w:color w:val="333333"/>
                <w:kern w:val="0"/>
                <w:sz w:val="24"/>
                <w:szCs w:val="24"/>
                <w:bdr w:val="none" w:color="auto" w:sz="0" w:space="0"/>
                <w:lang w:val="en-US" w:eastAsia="zh-CN" w:bidi="ar"/>
              </w:rPr>
              <w:t>建立包括养老服务在内的社区综合服务设施和站点的乡镇比例</w:t>
            </w:r>
          </w:p>
        </w:tc>
        <w:tc>
          <w:tcPr>
            <w:tcW w:w="117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333333"/>
                <w:kern w:val="0"/>
                <w:sz w:val="24"/>
                <w:szCs w:val="24"/>
                <w:bdr w:val="none" w:color="auto" w:sz="0" w:space="0"/>
                <w:lang w:val="en-US" w:eastAsia="zh-CN" w:bidi="ar"/>
              </w:rPr>
              <w:t>90%以上</w:t>
            </w:r>
          </w:p>
        </w:tc>
      </w:tr>
      <w:tr>
        <w:tblPrEx>
          <w:tblLayout w:type="fixed"/>
          <w:tblCellMar>
            <w:top w:w="0" w:type="dxa"/>
            <w:left w:w="0" w:type="dxa"/>
            <w:bottom w:w="0" w:type="dxa"/>
            <w:right w:w="0" w:type="dxa"/>
          </w:tblCellMar>
        </w:tblPrEx>
        <w:tc>
          <w:tcPr>
            <w:tcW w:w="1204"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eastAsia" w:ascii="宋体" w:hAnsi="宋体" w:eastAsia="宋体" w:cs="宋体"/>
                <w:color w:val="333333"/>
                <w:sz w:val="18"/>
                <w:szCs w:val="18"/>
              </w:rPr>
            </w:pPr>
          </w:p>
        </w:tc>
        <w:tc>
          <w:tcPr>
            <w:tcW w:w="592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宋体" w:hAnsi="宋体" w:eastAsia="宋体" w:cs="宋体"/>
                <w:color w:val="333333"/>
                <w:kern w:val="0"/>
                <w:sz w:val="24"/>
                <w:szCs w:val="24"/>
                <w:bdr w:val="none" w:color="auto" w:sz="0" w:space="0"/>
                <w:lang w:val="en-US" w:eastAsia="zh-CN" w:bidi="ar"/>
              </w:rPr>
              <w:t>建立包括养老服务在内的社区综合服务设施和站点的农村社区比例</w:t>
            </w:r>
          </w:p>
        </w:tc>
        <w:tc>
          <w:tcPr>
            <w:tcW w:w="117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333333"/>
                <w:kern w:val="0"/>
                <w:sz w:val="24"/>
                <w:szCs w:val="24"/>
                <w:bdr w:val="none" w:color="auto" w:sz="0" w:space="0"/>
                <w:lang w:val="en-US" w:eastAsia="zh-CN" w:bidi="ar"/>
              </w:rPr>
              <w:t>80%以上</w:t>
            </w:r>
          </w:p>
        </w:tc>
      </w:tr>
      <w:tr>
        <w:tblPrEx>
          <w:tblLayout w:type="fixed"/>
          <w:tblCellMar>
            <w:top w:w="0" w:type="dxa"/>
            <w:left w:w="0" w:type="dxa"/>
            <w:bottom w:w="0" w:type="dxa"/>
            <w:right w:w="0" w:type="dxa"/>
          </w:tblCellMar>
        </w:tblPrEx>
        <w:tc>
          <w:tcPr>
            <w:tcW w:w="1204"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eastAsia" w:ascii="宋体" w:hAnsi="宋体" w:eastAsia="宋体" w:cs="宋体"/>
                <w:color w:val="333333"/>
                <w:sz w:val="18"/>
                <w:szCs w:val="18"/>
              </w:rPr>
            </w:pPr>
          </w:p>
        </w:tc>
        <w:tc>
          <w:tcPr>
            <w:tcW w:w="592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宋体" w:hAnsi="宋体" w:eastAsia="宋体" w:cs="宋体"/>
                <w:color w:val="333333"/>
                <w:kern w:val="0"/>
                <w:sz w:val="24"/>
                <w:szCs w:val="24"/>
                <w:bdr w:val="none" w:color="auto" w:sz="0" w:space="0"/>
                <w:lang w:val="en-US" w:eastAsia="zh-CN" w:bidi="ar"/>
              </w:rPr>
              <w:t>政府运营的养老床位占比</w:t>
            </w:r>
          </w:p>
        </w:tc>
        <w:tc>
          <w:tcPr>
            <w:tcW w:w="117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333333"/>
                <w:kern w:val="0"/>
                <w:sz w:val="24"/>
                <w:szCs w:val="24"/>
                <w:bdr w:val="none" w:color="auto" w:sz="0" w:space="0"/>
                <w:lang w:val="en-US" w:eastAsia="zh-CN" w:bidi="ar"/>
              </w:rPr>
              <w:t>30%以下</w:t>
            </w:r>
          </w:p>
        </w:tc>
      </w:tr>
      <w:tr>
        <w:tblPrEx>
          <w:tblLayout w:type="fixed"/>
          <w:tblCellMar>
            <w:top w:w="0" w:type="dxa"/>
            <w:left w:w="0" w:type="dxa"/>
            <w:bottom w:w="0" w:type="dxa"/>
            <w:right w:w="0" w:type="dxa"/>
          </w:tblCellMar>
        </w:tblPrEx>
        <w:tc>
          <w:tcPr>
            <w:tcW w:w="1204"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eastAsia" w:ascii="宋体" w:hAnsi="宋体" w:eastAsia="宋体" w:cs="宋体"/>
                <w:color w:val="333333"/>
                <w:sz w:val="18"/>
                <w:szCs w:val="18"/>
              </w:rPr>
            </w:pPr>
          </w:p>
        </w:tc>
        <w:tc>
          <w:tcPr>
            <w:tcW w:w="592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宋体" w:hAnsi="宋体" w:eastAsia="宋体" w:cs="宋体"/>
                <w:color w:val="333333"/>
                <w:kern w:val="0"/>
                <w:sz w:val="24"/>
                <w:szCs w:val="24"/>
                <w:bdr w:val="none" w:color="auto" w:sz="0" w:space="0"/>
                <w:lang w:val="en-US" w:eastAsia="zh-CN" w:bidi="ar"/>
              </w:rPr>
              <w:t>农村敬老院床位利用率</w:t>
            </w:r>
          </w:p>
        </w:tc>
        <w:tc>
          <w:tcPr>
            <w:tcW w:w="117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333333"/>
                <w:kern w:val="0"/>
                <w:sz w:val="24"/>
                <w:szCs w:val="24"/>
                <w:bdr w:val="none" w:color="auto" w:sz="0" w:space="0"/>
                <w:lang w:val="en-US" w:eastAsia="zh-CN" w:bidi="ar"/>
              </w:rPr>
              <w:t>80%</w:t>
            </w:r>
          </w:p>
        </w:tc>
      </w:tr>
      <w:tr>
        <w:tblPrEx>
          <w:tblLayout w:type="fixed"/>
          <w:tblCellMar>
            <w:top w:w="0" w:type="dxa"/>
            <w:left w:w="0" w:type="dxa"/>
            <w:bottom w:w="0" w:type="dxa"/>
            <w:right w:w="0" w:type="dxa"/>
          </w:tblCellMar>
        </w:tblPrEx>
        <w:tc>
          <w:tcPr>
            <w:tcW w:w="1204"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eastAsia" w:ascii="宋体" w:hAnsi="宋体" w:eastAsia="宋体" w:cs="宋体"/>
                <w:color w:val="333333"/>
                <w:sz w:val="18"/>
                <w:szCs w:val="18"/>
              </w:rPr>
            </w:pPr>
          </w:p>
        </w:tc>
        <w:tc>
          <w:tcPr>
            <w:tcW w:w="592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宋体" w:hAnsi="宋体" w:eastAsia="宋体" w:cs="宋体"/>
                <w:color w:val="333333"/>
                <w:kern w:val="0"/>
                <w:sz w:val="24"/>
                <w:szCs w:val="24"/>
                <w:bdr w:val="none" w:color="auto" w:sz="0" w:space="0"/>
                <w:lang w:val="en-US" w:eastAsia="zh-CN" w:bidi="ar"/>
              </w:rPr>
              <w:t>护理型养老床位占比</w:t>
            </w:r>
          </w:p>
        </w:tc>
        <w:tc>
          <w:tcPr>
            <w:tcW w:w="117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333333"/>
                <w:kern w:val="0"/>
                <w:sz w:val="24"/>
                <w:szCs w:val="24"/>
                <w:bdr w:val="none" w:color="auto" w:sz="0" w:space="0"/>
                <w:lang w:val="en-US" w:eastAsia="zh-CN" w:bidi="ar"/>
              </w:rPr>
              <w:t>30％以上</w:t>
            </w:r>
          </w:p>
        </w:tc>
      </w:tr>
      <w:tr>
        <w:tblPrEx>
          <w:tblLayout w:type="fixed"/>
          <w:tblCellMar>
            <w:top w:w="0" w:type="dxa"/>
            <w:left w:w="0" w:type="dxa"/>
            <w:bottom w:w="0" w:type="dxa"/>
            <w:right w:w="0" w:type="dxa"/>
          </w:tblCellMar>
        </w:tblPrEx>
        <w:tc>
          <w:tcPr>
            <w:tcW w:w="1204"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eastAsia" w:ascii="宋体" w:hAnsi="宋体" w:eastAsia="宋体" w:cs="宋体"/>
                <w:color w:val="333333"/>
                <w:sz w:val="18"/>
                <w:szCs w:val="18"/>
              </w:rPr>
            </w:pPr>
          </w:p>
        </w:tc>
        <w:tc>
          <w:tcPr>
            <w:tcW w:w="592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宋体" w:hAnsi="宋体" w:eastAsia="宋体" w:cs="宋体"/>
                <w:color w:val="333333"/>
                <w:kern w:val="0"/>
                <w:sz w:val="24"/>
                <w:szCs w:val="24"/>
                <w:bdr w:val="none" w:color="auto" w:sz="0" w:space="0"/>
                <w:lang w:val="en-US" w:eastAsia="zh-CN" w:bidi="ar"/>
              </w:rPr>
              <w:t>农村特困人员供养服务机构转型升级为区域性养老服务中心的比例</w:t>
            </w:r>
          </w:p>
        </w:tc>
        <w:tc>
          <w:tcPr>
            <w:tcW w:w="117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333333"/>
                <w:kern w:val="0"/>
                <w:sz w:val="24"/>
                <w:szCs w:val="24"/>
                <w:bdr w:val="none" w:color="auto" w:sz="0" w:space="0"/>
                <w:lang w:val="en-US" w:eastAsia="zh-CN" w:bidi="ar"/>
              </w:rPr>
              <w:t>60%</w:t>
            </w:r>
          </w:p>
        </w:tc>
      </w:tr>
      <w:tr>
        <w:tblPrEx>
          <w:tblLayout w:type="fixed"/>
          <w:tblCellMar>
            <w:top w:w="0" w:type="dxa"/>
            <w:left w:w="0" w:type="dxa"/>
            <w:bottom w:w="0" w:type="dxa"/>
            <w:right w:w="0" w:type="dxa"/>
          </w:tblCellMar>
        </w:tblPrEx>
        <w:tc>
          <w:tcPr>
            <w:tcW w:w="1204"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333333"/>
                <w:kern w:val="0"/>
                <w:sz w:val="24"/>
                <w:szCs w:val="24"/>
                <w:bdr w:val="none" w:color="auto" w:sz="0" w:space="0"/>
                <w:lang w:val="en-US" w:eastAsia="zh-CN" w:bidi="ar"/>
              </w:rPr>
              <w:t>健康支持</w:t>
            </w:r>
          </w:p>
        </w:tc>
        <w:tc>
          <w:tcPr>
            <w:tcW w:w="592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宋体" w:hAnsi="宋体" w:eastAsia="宋体" w:cs="宋体"/>
                <w:color w:val="333333"/>
                <w:kern w:val="0"/>
                <w:sz w:val="24"/>
                <w:szCs w:val="24"/>
                <w:bdr w:val="none" w:color="auto" w:sz="0" w:space="0"/>
                <w:lang w:val="en-US" w:eastAsia="zh-CN" w:bidi="ar"/>
              </w:rPr>
              <w:t>老年人健康素养</w:t>
            </w:r>
          </w:p>
        </w:tc>
        <w:tc>
          <w:tcPr>
            <w:tcW w:w="117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333333"/>
                <w:kern w:val="0"/>
                <w:sz w:val="24"/>
                <w:szCs w:val="24"/>
                <w:bdr w:val="none" w:color="auto" w:sz="0" w:space="0"/>
                <w:lang w:val="en-US" w:eastAsia="zh-CN" w:bidi="ar"/>
              </w:rPr>
              <w:t>提升至10%</w:t>
            </w:r>
          </w:p>
        </w:tc>
      </w:tr>
      <w:tr>
        <w:tblPrEx>
          <w:tblLayout w:type="fixed"/>
        </w:tblPrEx>
        <w:tc>
          <w:tcPr>
            <w:tcW w:w="1204"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eastAsia" w:ascii="宋体" w:hAnsi="宋体" w:eastAsia="宋体" w:cs="宋体"/>
                <w:color w:val="333333"/>
                <w:sz w:val="18"/>
                <w:szCs w:val="18"/>
              </w:rPr>
            </w:pPr>
          </w:p>
        </w:tc>
        <w:tc>
          <w:tcPr>
            <w:tcW w:w="592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宋体" w:hAnsi="宋体" w:eastAsia="宋体" w:cs="宋体"/>
                <w:color w:val="333333"/>
                <w:kern w:val="0"/>
                <w:sz w:val="24"/>
                <w:szCs w:val="24"/>
                <w:bdr w:val="none" w:color="auto" w:sz="0" w:space="0"/>
                <w:lang w:val="en-US" w:eastAsia="zh-CN" w:bidi="ar"/>
              </w:rPr>
              <w:t>二级以上综合医院设老年病科比例</w:t>
            </w:r>
          </w:p>
        </w:tc>
        <w:tc>
          <w:tcPr>
            <w:tcW w:w="117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333333"/>
                <w:kern w:val="0"/>
                <w:sz w:val="24"/>
                <w:szCs w:val="24"/>
                <w:bdr w:val="none" w:color="auto" w:sz="0" w:space="0"/>
                <w:lang w:val="en-US" w:eastAsia="zh-CN" w:bidi="ar"/>
              </w:rPr>
              <w:t>35%以上</w:t>
            </w:r>
          </w:p>
        </w:tc>
      </w:tr>
      <w:tr>
        <w:tblPrEx>
          <w:tblLayout w:type="fixed"/>
          <w:tblCellMar>
            <w:top w:w="0" w:type="dxa"/>
            <w:left w:w="0" w:type="dxa"/>
            <w:bottom w:w="0" w:type="dxa"/>
            <w:right w:w="0" w:type="dxa"/>
          </w:tblCellMar>
        </w:tblPrEx>
        <w:tc>
          <w:tcPr>
            <w:tcW w:w="1204"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eastAsia" w:ascii="宋体" w:hAnsi="宋体" w:eastAsia="宋体" w:cs="宋体"/>
                <w:color w:val="333333"/>
                <w:sz w:val="18"/>
                <w:szCs w:val="18"/>
              </w:rPr>
            </w:pPr>
          </w:p>
        </w:tc>
        <w:tc>
          <w:tcPr>
            <w:tcW w:w="592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宋体" w:hAnsi="宋体" w:eastAsia="宋体" w:cs="宋体"/>
                <w:color w:val="333333"/>
                <w:kern w:val="0"/>
                <w:sz w:val="24"/>
                <w:szCs w:val="24"/>
                <w:bdr w:val="none" w:color="auto" w:sz="0" w:space="0"/>
                <w:lang w:val="en-US" w:eastAsia="zh-CN" w:bidi="ar"/>
              </w:rPr>
              <w:t>65周岁以上老年人健康管理率</w:t>
            </w:r>
          </w:p>
        </w:tc>
        <w:tc>
          <w:tcPr>
            <w:tcW w:w="117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333333"/>
                <w:kern w:val="0"/>
                <w:sz w:val="24"/>
                <w:szCs w:val="24"/>
                <w:bdr w:val="none" w:color="auto" w:sz="0" w:space="0"/>
                <w:lang w:val="en-US" w:eastAsia="zh-CN" w:bidi="ar"/>
              </w:rPr>
              <w:t>力争达到80%</w:t>
            </w:r>
          </w:p>
        </w:tc>
      </w:tr>
      <w:tr>
        <w:tblPrEx>
          <w:tblLayout w:type="fixed"/>
          <w:tblCellMar>
            <w:top w:w="0" w:type="dxa"/>
            <w:left w:w="0" w:type="dxa"/>
            <w:bottom w:w="0" w:type="dxa"/>
            <w:right w:w="0" w:type="dxa"/>
          </w:tblCellMar>
        </w:tblPrEx>
        <w:tc>
          <w:tcPr>
            <w:tcW w:w="1204"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eastAsia" w:ascii="宋体" w:hAnsi="宋体" w:eastAsia="宋体" w:cs="宋体"/>
                <w:color w:val="333333"/>
                <w:sz w:val="18"/>
                <w:szCs w:val="18"/>
              </w:rPr>
            </w:pPr>
          </w:p>
        </w:tc>
        <w:tc>
          <w:tcPr>
            <w:tcW w:w="592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宋体" w:hAnsi="宋体" w:eastAsia="宋体" w:cs="宋体"/>
                <w:color w:val="333333"/>
                <w:kern w:val="0"/>
                <w:sz w:val="24"/>
                <w:szCs w:val="24"/>
                <w:bdr w:val="none" w:color="auto" w:sz="0" w:space="0"/>
                <w:lang w:val="en-US" w:eastAsia="zh-CN" w:bidi="ar"/>
              </w:rPr>
              <w:t>建立老年人基层体育组织的乡镇（街道）比例</w:t>
            </w:r>
          </w:p>
        </w:tc>
        <w:tc>
          <w:tcPr>
            <w:tcW w:w="117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333333"/>
                <w:kern w:val="0"/>
                <w:sz w:val="24"/>
                <w:szCs w:val="24"/>
                <w:bdr w:val="none" w:color="auto" w:sz="0" w:space="0"/>
                <w:lang w:val="en-US" w:eastAsia="zh-CN" w:bidi="ar"/>
              </w:rPr>
              <w:t>90%</w:t>
            </w:r>
          </w:p>
        </w:tc>
      </w:tr>
      <w:tr>
        <w:tblPrEx>
          <w:tblLayout w:type="fixed"/>
          <w:tblCellMar>
            <w:top w:w="0" w:type="dxa"/>
            <w:left w:w="0" w:type="dxa"/>
            <w:bottom w:w="0" w:type="dxa"/>
            <w:right w:w="0" w:type="dxa"/>
          </w:tblCellMar>
        </w:tblPrEx>
        <w:tc>
          <w:tcPr>
            <w:tcW w:w="1204"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333333"/>
                <w:kern w:val="0"/>
                <w:sz w:val="24"/>
                <w:szCs w:val="24"/>
                <w:bdr w:val="none" w:color="auto" w:sz="0" w:space="0"/>
                <w:lang w:val="en-US" w:eastAsia="zh-CN" w:bidi="ar"/>
              </w:rPr>
              <w:t>宜居环境</w:t>
            </w:r>
          </w:p>
        </w:tc>
        <w:tc>
          <w:tcPr>
            <w:tcW w:w="592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宋体" w:hAnsi="宋体" w:eastAsia="宋体" w:cs="宋体"/>
                <w:color w:val="333333"/>
                <w:kern w:val="0"/>
                <w:sz w:val="24"/>
                <w:szCs w:val="24"/>
                <w:bdr w:val="none" w:color="auto" w:sz="0" w:space="0"/>
                <w:lang w:val="en-US" w:eastAsia="zh-CN" w:bidi="ar"/>
              </w:rPr>
              <w:t>符合老年宜居社区基本条件的城市社区比例</w:t>
            </w:r>
          </w:p>
        </w:tc>
        <w:tc>
          <w:tcPr>
            <w:tcW w:w="117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333333"/>
                <w:kern w:val="0"/>
                <w:sz w:val="24"/>
                <w:szCs w:val="24"/>
                <w:bdr w:val="none" w:color="auto" w:sz="0" w:space="0"/>
                <w:lang w:val="en-US" w:eastAsia="zh-CN" w:bidi="ar"/>
              </w:rPr>
              <w:t>60%以上</w:t>
            </w:r>
          </w:p>
        </w:tc>
      </w:tr>
      <w:tr>
        <w:tblPrEx>
          <w:tblLayout w:type="fixed"/>
          <w:tblCellMar>
            <w:top w:w="0" w:type="dxa"/>
            <w:left w:w="0" w:type="dxa"/>
            <w:bottom w:w="0" w:type="dxa"/>
            <w:right w:w="0" w:type="dxa"/>
          </w:tblCellMar>
        </w:tblPrEx>
        <w:tc>
          <w:tcPr>
            <w:tcW w:w="1204"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eastAsia" w:ascii="宋体" w:hAnsi="宋体" w:eastAsia="宋体" w:cs="宋体"/>
                <w:color w:val="333333"/>
                <w:sz w:val="18"/>
                <w:szCs w:val="18"/>
              </w:rPr>
            </w:pPr>
          </w:p>
        </w:tc>
        <w:tc>
          <w:tcPr>
            <w:tcW w:w="592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宋体" w:hAnsi="宋体" w:eastAsia="宋体" w:cs="宋体"/>
                <w:color w:val="333333"/>
                <w:kern w:val="0"/>
                <w:sz w:val="24"/>
                <w:szCs w:val="24"/>
                <w:bdr w:val="none" w:color="auto" w:sz="0" w:space="0"/>
                <w:lang w:val="en-US" w:eastAsia="zh-CN" w:bidi="ar"/>
              </w:rPr>
              <w:t>符合老年宜居社区基本条件的农村社区比例</w:t>
            </w:r>
          </w:p>
        </w:tc>
        <w:tc>
          <w:tcPr>
            <w:tcW w:w="117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333333"/>
                <w:kern w:val="0"/>
                <w:sz w:val="24"/>
                <w:szCs w:val="24"/>
                <w:bdr w:val="none" w:color="auto" w:sz="0" w:space="0"/>
                <w:lang w:val="en-US" w:eastAsia="zh-CN" w:bidi="ar"/>
              </w:rPr>
              <w:t>40%以上</w:t>
            </w:r>
          </w:p>
        </w:tc>
      </w:tr>
      <w:tr>
        <w:tblPrEx>
          <w:tblLayout w:type="fixed"/>
          <w:tblCellMar>
            <w:top w:w="0" w:type="dxa"/>
            <w:left w:w="0" w:type="dxa"/>
            <w:bottom w:w="0" w:type="dxa"/>
            <w:right w:w="0" w:type="dxa"/>
          </w:tblCellMar>
        </w:tblPrEx>
        <w:tc>
          <w:tcPr>
            <w:tcW w:w="1204"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333333"/>
                <w:kern w:val="0"/>
                <w:sz w:val="24"/>
                <w:szCs w:val="24"/>
                <w:bdr w:val="none" w:color="auto" w:sz="0" w:space="0"/>
                <w:lang w:val="en-US" w:eastAsia="zh-CN" w:bidi="ar"/>
              </w:rPr>
              <w:t>老年教育</w:t>
            </w:r>
          </w:p>
        </w:tc>
        <w:tc>
          <w:tcPr>
            <w:tcW w:w="592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宋体" w:hAnsi="宋体" w:eastAsia="宋体" w:cs="宋体"/>
                <w:color w:val="333333"/>
                <w:kern w:val="0"/>
                <w:sz w:val="24"/>
                <w:szCs w:val="24"/>
                <w:bdr w:val="none" w:color="auto" w:sz="0" w:space="0"/>
                <w:lang w:val="en-US" w:eastAsia="zh-CN" w:bidi="ar"/>
              </w:rPr>
              <w:t>建立老年大学的县（市、区）比例</w:t>
            </w:r>
          </w:p>
        </w:tc>
        <w:tc>
          <w:tcPr>
            <w:tcW w:w="117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333333"/>
                <w:kern w:val="0"/>
                <w:sz w:val="24"/>
                <w:szCs w:val="24"/>
                <w:bdr w:val="none" w:color="auto" w:sz="0" w:space="0"/>
                <w:lang w:val="en-US" w:eastAsia="zh-CN" w:bidi="ar"/>
              </w:rPr>
              <w:t>100%</w:t>
            </w:r>
          </w:p>
        </w:tc>
      </w:tr>
      <w:tr>
        <w:tblPrEx>
          <w:tblLayout w:type="fixed"/>
        </w:tblPrEx>
        <w:tc>
          <w:tcPr>
            <w:tcW w:w="1204"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eastAsia" w:ascii="宋体" w:hAnsi="宋体" w:eastAsia="宋体" w:cs="宋体"/>
                <w:color w:val="333333"/>
                <w:sz w:val="18"/>
                <w:szCs w:val="18"/>
              </w:rPr>
            </w:pPr>
          </w:p>
        </w:tc>
        <w:tc>
          <w:tcPr>
            <w:tcW w:w="592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宋体" w:hAnsi="宋体" w:eastAsia="宋体" w:cs="宋体"/>
                <w:color w:val="333333"/>
                <w:kern w:val="0"/>
                <w:sz w:val="24"/>
                <w:szCs w:val="24"/>
                <w:bdr w:val="none" w:color="auto" w:sz="0" w:space="0"/>
                <w:lang w:val="en-US" w:eastAsia="zh-CN" w:bidi="ar"/>
              </w:rPr>
              <w:t>建立老年学校的乡镇（街道）比例</w:t>
            </w:r>
          </w:p>
        </w:tc>
        <w:tc>
          <w:tcPr>
            <w:tcW w:w="117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333333"/>
                <w:kern w:val="0"/>
                <w:sz w:val="24"/>
                <w:szCs w:val="24"/>
                <w:bdr w:val="none" w:color="auto" w:sz="0" w:space="0"/>
                <w:lang w:val="en-US" w:eastAsia="zh-CN" w:bidi="ar"/>
              </w:rPr>
              <w:t>95%</w:t>
            </w:r>
          </w:p>
        </w:tc>
      </w:tr>
      <w:tr>
        <w:tblPrEx>
          <w:tblLayout w:type="fixed"/>
          <w:tblCellMar>
            <w:top w:w="0" w:type="dxa"/>
            <w:left w:w="0" w:type="dxa"/>
            <w:bottom w:w="0" w:type="dxa"/>
            <w:right w:w="0" w:type="dxa"/>
          </w:tblCellMar>
        </w:tblPrEx>
        <w:tc>
          <w:tcPr>
            <w:tcW w:w="1204"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eastAsia" w:ascii="宋体" w:hAnsi="宋体" w:eastAsia="宋体" w:cs="宋体"/>
                <w:color w:val="333333"/>
                <w:sz w:val="18"/>
                <w:szCs w:val="18"/>
              </w:rPr>
            </w:pPr>
          </w:p>
        </w:tc>
        <w:tc>
          <w:tcPr>
            <w:tcW w:w="592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宋体" w:hAnsi="宋体" w:eastAsia="宋体" w:cs="宋体"/>
                <w:color w:val="333333"/>
                <w:kern w:val="0"/>
                <w:sz w:val="24"/>
                <w:szCs w:val="24"/>
                <w:bdr w:val="none" w:color="auto" w:sz="0" w:space="0"/>
                <w:lang w:val="en-US" w:eastAsia="zh-CN" w:bidi="ar"/>
              </w:rPr>
              <w:t>建立远程教育老年学习网点的乡镇（街道）比例</w:t>
            </w:r>
          </w:p>
        </w:tc>
        <w:tc>
          <w:tcPr>
            <w:tcW w:w="117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333333"/>
                <w:kern w:val="0"/>
                <w:sz w:val="24"/>
                <w:szCs w:val="24"/>
                <w:bdr w:val="none" w:color="auto" w:sz="0" w:space="0"/>
                <w:lang w:val="en-US" w:eastAsia="zh-CN" w:bidi="ar"/>
              </w:rPr>
              <w:t>100%</w:t>
            </w:r>
          </w:p>
        </w:tc>
      </w:tr>
      <w:tr>
        <w:tblPrEx>
          <w:tblLayout w:type="fixed"/>
          <w:tblCellMar>
            <w:top w:w="0" w:type="dxa"/>
            <w:left w:w="0" w:type="dxa"/>
            <w:bottom w:w="0" w:type="dxa"/>
            <w:right w:w="0" w:type="dxa"/>
          </w:tblCellMar>
        </w:tblPrEx>
        <w:tc>
          <w:tcPr>
            <w:tcW w:w="1204"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eastAsia" w:ascii="宋体" w:hAnsi="宋体" w:eastAsia="宋体" w:cs="宋体"/>
                <w:color w:val="333333"/>
                <w:sz w:val="18"/>
                <w:szCs w:val="18"/>
              </w:rPr>
            </w:pPr>
          </w:p>
        </w:tc>
        <w:tc>
          <w:tcPr>
            <w:tcW w:w="592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宋体" w:hAnsi="宋体" w:eastAsia="宋体" w:cs="宋体"/>
                <w:color w:val="333333"/>
                <w:kern w:val="0"/>
                <w:sz w:val="24"/>
                <w:szCs w:val="24"/>
                <w:bdr w:val="none" w:color="auto" w:sz="0" w:space="0"/>
                <w:lang w:val="en-US" w:eastAsia="zh-CN" w:bidi="ar"/>
              </w:rPr>
              <w:t>建立老年学习点的行政村（居委会）比例</w:t>
            </w:r>
          </w:p>
        </w:tc>
        <w:tc>
          <w:tcPr>
            <w:tcW w:w="117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333333"/>
                <w:kern w:val="0"/>
                <w:sz w:val="24"/>
                <w:szCs w:val="24"/>
                <w:bdr w:val="none" w:color="auto" w:sz="0" w:space="0"/>
                <w:lang w:val="en-US" w:eastAsia="zh-CN" w:bidi="ar"/>
              </w:rPr>
              <w:t>50%</w:t>
            </w:r>
          </w:p>
        </w:tc>
      </w:tr>
      <w:tr>
        <w:tblPrEx>
          <w:tblLayout w:type="fixed"/>
          <w:tblCellMar>
            <w:top w:w="0" w:type="dxa"/>
            <w:left w:w="0" w:type="dxa"/>
            <w:bottom w:w="0" w:type="dxa"/>
            <w:right w:w="0" w:type="dxa"/>
          </w:tblCellMar>
        </w:tblPrEx>
        <w:tc>
          <w:tcPr>
            <w:tcW w:w="1204"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eastAsia" w:ascii="宋体" w:hAnsi="宋体" w:eastAsia="宋体" w:cs="宋体"/>
                <w:color w:val="333333"/>
                <w:sz w:val="18"/>
                <w:szCs w:val="18"/>
              </w:rPr>
            </w:pPr>
          </w:p>
        </w:tc>
        <w:tc>
          <w:tcPr>
            <w:tcW w:w="592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宋体" w:hAnsi="宋体" w:eastAsia="宋体" w:cs="宋体"/>
                <w:color w:val="333333"/>
                <w:kern w:val="0"/>
                <w:sz w:val="24"/>
                <w:szCs w:val="24"/>
                <w:bdr w:val="none" w:color="auto" w:sz="0" w:space="0"/>
                <w:lang w:val="en-US" w:eastAsia="zh-CN" w:bidi="ar"/>
              </w:rPr>
              <w:t>经常性参与教育活动的老年人口比例</w:t>
            </w:r>
          </w:p>
        </w:tc>
        <w:tc>
          <w:tcPr>
            <w:tcW w:w="117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333333"/>
                <w:kern w:val="0"/>
                <w:sz w:val="24"/>
                <w:szCs w:val="24"/>
                <w:bdr w:val="none" w:color="auto" w:sz="0" w:space="0"/>
                <w:lang w:val="en-US" w:eastAsia="zh-CN" w:bidi="ar"/>
              </w:rPr>
              <w:t>20%以上</w:t>
            </w:r>
          </w:p>
        </w:tc>
      </w:tr>
      <w:tr>
        <w:tblPrEx>
          <w:tblLayout w:type="fixed"/>
          <w:tblCellMar>
            <w:top w:w="0" w:type="dxa"/>
            <w:left w:w="0" w:type="dxa"/>
            <w:bottom w:w="0" w:type="dxa"/>
            <w:right w:w="0" w:type="dxa"/>
          </w:tblCellMar>
        </w:tblPrEx>
        <w:tc>
          <w:tcPr>
            <w:tcW w:w="1204"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333333"/>
                <w:kern w:val="0"/>
                <w:sz w:val="24"/>
                <w:szCs w:val="24"/>
                <w:bdr w:val="none" w:color="auto" w:sz="0" w:space="0"/>
                <w:lang w:val="en-US" w:eastAsia="zh-CN" w:bidi="ar"/>
              </w:rPr>
              <w:t>社会参与</w:t>
            </w:r>
          </w:p>
        </w:tc>
        <w:tc>
          <w:tcPr>
            <w:tcW w:w="592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宋体" w:hAnsi="宋体" w:eastAsia="宋体" w:cs="宋体"/>
                <w:color w:val="333333"/>
                <w:kern w:val="0"/>
                <w:sz w:val="24"/>
                <w:szCs w:val="24"/>
                <w:bdr w:val="none" w:color="auto" w:sz="0" w:space="0"/>
                <w:lang w:val="en-US" w:eastAsia="zh-CN" w:bidi="ar"/>
              </w:rPr>
              <w:t>老年志愿者注册人数占老年人口比例</w:t>
            </w:r>
          </w:p>
        </w:tc>
        <w:tc>
          <w:tcPr>
            <w:tcW w:w="117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333333"/>
                <w:kern w:val="0"/>
                <w:sz w:val="24"/>
                <w:szCs w:val="24"/>
                <w:bdr w:val="none" w:color="auto" w:sz="0" w:space="0"/>
                <w:lang w:val="en-US" w:eastAsia="zh-CN" w:bidi="ar"/>
              </w:rPr>
              <w:t>15%</w:t>
            </w:r>
          </w:p>
        </w:tc>
      </w:tr>
      <w:tr>
        <w:tblPrEx>
          <w:tblLayout w:type="fixed"/>
          <w:tblCellMar>
            <w:top w:w="0" w:type="dxa"/>
            <w:left w:w="0" w:type="dxa"/>
            <w:bottom w:w="0" w:type="dxa"/>
            <w:right w:w="0" w:type="dxa"/>
          </w:tblCellMar>
        </w:tblPrEx>
        <w:tc>
          <w:tcPr>
            <w:tcW w:w="1204"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eastAsia" w:ascii="宋体" w:hAnsi="宋体" w:eastAsia="宋体" w:cs="宋体"/>
                <w:color w:val="333333"/>
                <w:sz w:val="18"/>
                <w:szCs w:val="18"/>
              </w:rPr>
            </w:pPr>
          </w:p>
        </w:tc>
        <w:tc>
          <w:tcPr>
            <w:tcW w:w="592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宋体" w:hAnsi="宋体" w:eastAsia="宋体" w:cs="宋体"/>
                <w:color w:val="333333"/>
                <w:kern w:val="0"/>
                <w:sz w:val="24"/>
                <w:szCs w:val="24"/>
                <w:bdr w:val="none" w:color="auto" w:sz="0" w:space="0"/>
                <w:lang w:val="en-US" w:eastAsia="zh-CN" w:bidi="ar"/>
              </w:rPr>
              <w:t>城乡社区基层老年协会规范化建设率</w:t>
            </w:r>
          </w:p>
        </w:tc>
        <w:tc>
          <w:tcPr>
            <w:tcW w:w="117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333333"/>
                <w:kern w:val="0"/>
                <w:sz w:val="24"/>
                <w:szCs w:val="24"/>
                <w:bdr w:val="none" w:color="auto" w:sz="0" w:space="0"/>
                <w:lang w:val="en-US" w:eastAsia="zh-CN" w:bidi="ar"/>
              </w:rPr>
              <w:t>60%以上</w:t>
            </w:r>
          </w:p>
        </w:tc>
      </w:tr>
      <w:tr>
        <w:tblPrEx>
          <w:tblLayout w:type="fixed"/>
          <w:tblCellMar>
            <w:top w:w="0" w:type="dxa"/>
            <w:left w:w="0" w:type="dxa"/>
            <w:bottom w:w="0" w:type="dxa"/>
            <w:right w:w="0" w:type="dxa"/>
          </w:tblCellMar>
        </w:tblPrEx>
        <w:tc>
          <w:tcPr>
            <w:tcW w:w="120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333333"/>
                <w:kern w:val="0"/>
                <w:sz w:val="24"/>
                <w:szCs w:val="24"/>
                <w:bdr w:val="none" w:color="auto" w:sz="0" w:space="0"/>
                <w:lang w:val="en-US" w:eastAsia="zh-CN" w:bidi="ar"/>
              </w:rPr>
              <w:t>投入保障</w:t>
            </w:r>
          </w:p>
        </w:tc>
        <w:tc>
          <w:tcPr>
            <w:tcW w:w="592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宋体" w:hAnsi="宋体" w:eastAsia="宋体" w:cs="宋体"/>
                <w:color w:val="333333"/>
                <w:kern w:val="0"/>
                <w:sz w:val="24"/>
                <w:szCs w:val="24"/>
                <w:bdr w:val="none" w:color="auto" w:sz="0" w:space="0"/>
                <w:lang w:val="en-US" w:eastAsia="zh-CN" w:bidi="ar"/>
              </w:rPr>
              <w:t>福彩公益金用于养老服务业的比例</w:t>
            </w:r>
          </w:p>
        </w:tc>
        <w:tc>
          <w:tcPr>
            <w:tcW w:w="117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333333"/>
                <w:kern w:val="0"/>
                <w:sz w:val="24"/>
                <w:szCs w:val="24"/>
                <w:bdr w:val="none" w:color="auto" w:sz="0" w:space="0"/>
                <w:lang w:val="en-US" w:eastAsia="zh-CN" w:bidi="ar"/>
              </w:rPr>
              <w:t>50%以上</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1155"/>
        <w:jc w:val="center"/>
      </w:pPr>
      <w:r>
        <w:rPr>
          <w:rFonts w:ascii=";" w:hAnsi=";" w:eastAsia=";" w:cs=";"/>
          <w:kern w:val="0"/>
          <w:sz w:val="12"/>
          <w:szCs w:val="12"/>
          <w:bdr w:val="none" w:color="auto" w:sz="0" w:space="0"/>
          <w:lang w:val="en-US" w:eastAsia="zh-CN" w:bidi="ar"/>
        </w:rPr>
        <w:t> </w:t>
      </w:r>
      <w:r>
        <w:rPr>
          <w:rFonts w:asciiTheme="minorHAnsi" w:hAnsiTheme="minorHAnsi" w:eastAsiaTheme="minorEastAsia" w:cstheme="minorBidi"/>
          <w:kern w:val="0"/>
          <w:sz w:val="24"/>
          <w:szCs w:val="24"/>
          <w:bdr w:val="none" w:color="auto" w:sz="0" w:space="0"/>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37" w:right="0" w:hanging="1155"/>
        <w:jc w:val="center"/>
      </w:pPr>
      <w:r>
        <w:rPr>
          <w:rFonts w:hint="default" w:ascii="color:#333333;" w:hAnsi="color:#333333;" w:eastAsia="color:#333333;" w:cs="color:#333333;"/>
          <w:b/>
          <w:sz w:val="24"/>
          <w:szCs w:val="24"/>
          <w:bdr w:val="none" w:color="auto" w:sz="0" w:space="0"/>
        </w:rPr>
        <w:t>第三章     健全完善社会保障体系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560" w:right="0" w:hanging="1080"/>
        <w:jc w:val="center"/>
      </w:pPr>
      <w:r>
        <w:rPr>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560" w:right="0" w:hanging="1080"/>
        <w:jc w:val="center"/>
      </w:pPr>
      <w:r>
        <w:rPr>
          <w:rFonts w:hint="default" w:ascii="color:#333333;" w:hAnsi="color:#333333;" w:eastAsia="color:#333333;" w:cs="color:#333333;"/>
          <w:sz w:val="24"/>
          <w:szCs w:val="24"/>
          <w:bdr w:val="none" w:color="auto" w:sz="0" w:space="0"/>
        </w:rPr>
        <w:t>第一节     社会保障制度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default" w:ascii="color:#333333;" w:hAnsi="color:#333333;" w:eastAsia="color:#333333;" w:cs="color:#333333;"/>
          <w:kern w:val="0"/>
          <w:sz w:val="24"/>
          <w:szCs w:val="24"/>
          <w:bdr w:val="none" w:color="auto" w:sz="0" w:space="0"/>
          <w:lang w:val="en-US" w:eastAsia="zh-CN" w:bidi="ar"/>
        </w:rPr>
        <w:t>完善养老保险制度。进一步完善城乡居民基本养老保险制度，建立与国家同步实施基础养老金调整机制，推进城乡居民基本养老保险与城镇职工基本养老保险转移接续。完善职工养老保险个人账户制度，健全多缴多得激励机制。全面实施机关事业单位养老保险制度改革，建立机关事业单位工作人员职业年金制度。逐步提高国有资本收益上缴公共财政比例，划转部分国有资本充实社保基金。积极发展职业年金、企业年金、个人储蓄性养老保险、商业养老保险。推进个人税收递延型商业养老保险试点。加快健全社会保障管理体制和经办服务体系。建立更加便捷的养老保险转移接续机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default" w:ascii="color:#333333;" w:hAnsi="color:#333333;" w:eastAsia="color:#333333;" w:cs="color:#333333;"/>
          <w:kern w:val="0"/>
          <w:sz w:val="24"/>
          <w:szCs w:val="24"/>
          <w:bdr w:val="none" w:color="auto" w:sz="0" w:space="0"/>
          <w:lang w:val="en-US" w:eastAsia="zh-CN" w:bidi="ar"/>
        </w:rPr>
        <w:t>健全基本医疗保险制度。建立全省统一的城乡居民基本医疗保险制度，</w:t>
      </w:r>
      <w:r>
        <w:rPr>
          <w:rFonts w:hint="eastAsia" w:ascii="宋体" w:hAnsi="宋体" w:eastAsia="宋体" w:cs="宋体"/>
          <w:color w:val="333333"/>
          <w:kern w:val="0"/>
          <w:sz w:val="24"/>
          <w:szCs w:val="24"/>
          <w:bdr w:val="none" w:color="auto" w:sz="0" w:space="0"/>
          <w:lang w:val="en-US" w:eastAsia="zh-CN" w:bidi="ar"/>
        </w:rPr>
        <w:t>2017</w:t>
      </w:r>
      <w:r>
        <w:rPr>
          <w:rFonts w:hint="default" w:ascii="color:#333333;" w:hAnsi="color:#333333;" w:eastAsia="color:#333333;" w:cs="color:#333333;"/>
          <w:kern w:val="0"/>
          <w:sz w:val="24"/>
          <w:szCs w:val="24"/>
          <w:bdr w:val="none" w:color="auto" w:sz="0" w:space="0"/>
          <w:lang w:val="en-US" w:eastAsia="zh-CN" w:bidi="ar"/>
        </w:rPr>
        <w:t>年完成新型农村合作医疗和城镇居民基本医疗保险制度并轨。健全医疗保险稳定可持续筹资和报销比例调整机制，完善缴费参保政策。加快推进基本医疗保险全省联网和异地就医结算，实现跨省异地安置退休人员住院费用直接结算。积极稳妥地将基本治疗性康复辅助器具逐步纳入基本医疗保险支付范围。巩固完善城乡居民大病保险制度，鼓励发展补充医疗保险和商业健康保险、老年人意外伤害保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default" w:ascii="color:#333333;" w:hAnsi="color:#333333;" w:eastAsia="color:#333333;" w:cs="color:#333333;"/>
          <w:kern w:val="0"/>
          <w:sz w:val="24"/>
          <w:szCs w:val="24"/>
          <w:bdr w:val="none" w:color="auto" w:sz="0" w:space="0"/>
          <w:lang w:val="en-US" w:eastAsia="zh-CN" w:bidi="ar"/>
        </w:rPr>
        <w:t>探索建立长期护理保险制度。开展长期护理保险试点的地区要统筹施策，做好长期护理保险与重度残疾人护理补贴、经济困难失能老年人护理补贴等福利性护理补贴项目的整合衔接，提高资源配置效率效益。积极引导发挥社会救助、慈善事业等的有益补充，鼓励商业保险公司开发适销对路的长期护理保险产品和服务，满足老年人多样化、多层次长期护理保障需求。积极引入商业保险机构承办或参与经办长期护理保险，提高经办服务质量和基金使用效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eastAsia" w:ascii="宋体" w:hAnsi="宋体" w:eastAsia="宋体" w:cs="宋体"/>
          <w:color w:val="333333"/>
          <w:kern w:val="0"/>
          <w:sz w:val="24"/>
          <w:szCs w:val="24"/>
          <w:bdr w:val="none" w:color="auto" w:sz="0" w:space="0"/>
          <w:lang w:val="en-US" w:eastAsia="zh-CN" w:bidi="ar"/>
        </w:rPr>
        <w:t> </w:t>
      </w:r>
    </w:p>
    <w:tbl>
      <w:tblPr>
        <w:tblW w:w="8306" w:type="dxa"/>
        <w:jc w:val="center"/>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jc w:val="center"/>
        </w:trPr>
        <w:tc>
          <w:tcPr>
            <w:tcW w:w="830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pPr>
            <w:r>
              <w:rPr>
                <w:rFonts w:hint="default" w:ascii="color:#333333;" w:hAnsi="color:#333333;" w:eastAsia="color:#333333;" w:cs="color:#333333;"/>
                <w:color w:val="333333"/>
                <w:kern w:val="0"/>
                <w:sz w:val="24"/>
                <w:szCs w:val="24"/>
                <w:bdr w:val="none" w:color="auto" w:sz="0" w:space="0"/>
                <w:lang w:val="en-US" w:eastAsia="zh-CN" w:bidi="ar"/>
              </w:rPr>
              <w:t>专栏</w:t>
            </w:r>
            <w:r>
              <w:rPr>
                <w:rFonts w:hint="eastAsia" w:ascii="宋体" w:hAnsi="宋体" w:eastAsia="宋体" w:cs="宋体"/>
                <w:color w:val="333333"/>
                <w:kern w:val="0"/>
                <w:sz w:val="24"/>
                <w:szCs w:val="24"/>
                <w:bdr w:val="none" w:color="auto" w:sz="0" w:space="0"/>
                <w:lang w:val="en-US" w:eastAsia="zh-CN" w:bidi="ar"/>
              </w:rPr>
              <w:t>3  </w:t>
            </w:r>
            <w:r>
              <w:rPr>
                <w:rFonts w:hint="default" w:ascii="color:#333333;" w:hAnsi="color:#333333;" w:eastAsia="color:#333333;" w:cs="color:#333333;"/>
                <w:color w:val="333333"/>
                <w:kern w:val="0"/>
                <w:sz w:val="24"/>
                <w:szCs w:val="24"/>
                <w:bdr w:val="none" w:color="auto" w:sz="0" w:space="0"/>
                <w:lang w:val="en-US" w:eastAsia="zh-CN" w:bidi="ar"/>
              </w:rPr>
              <w:t>银龄安康行动</w:t>
            </w:r>
          </w:p>
        </w:tc>
      </w:tr>
      <w:tr>
        <w:tblPrEx>
          <w:tblLayout w:type="fixed"/>
          <w:tblCellMar>
            <w:top w:w="0" w:type="dxa"/>
            <w:left w:w="0" w:type="dxa"/>
            <w:bottom w:w="0" w:type="dxa"/>
            <w:right w:w="0" w:type="dxa"/>
          </w:tblCellMar>
        </w:tblPrEx>
        <w:trPr>
          <w:jc w:val="center"/>
        </w:trPr>
        <w:tc>
          <w:tcPr>
            <w:tcW w:w="830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left"/>
            </w:pPr>
            <w:r>
              <w:rPr>
                <w:rFonts w:hint="default" w:ascii="color:#333333;" w:hAnsi="color:#333333;" w:eastAsia="color:#333333;" w:cs="color:#333333;"/>
                <w:color w:val="333333"/>
                <w:kern w:val="0"/>
                <w:sz w:val="24"/>
                <w:szCs w:val="24"/>
                <w:bdr w:val="none" w:color="auto" w:sz="0" w:space="0"/>
                <w:lang w:val="en-US" w:eastAsia="zh-CN" w:bidi="ar"/>
              </w:rPr>
              <w:t>规范“银龄安康行动”各项程序，总结工作经验，进一步完善政府引导、市场运作、体现公益、投保自愿相结合的老年人意外伤害保险制度。推动落实特殊困难群体和重点优抚对象等老年人的意外伤害保险统保工作，逐步实现老年人意外伤害保险全省覆盖，提高老年人及其家庭的抗风险能力。</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560" w:right="0" w:hanging="1080"/>
        <w:jc w:val="center"/>
      </w:pPr>
      <w:r>
        <w:rPr>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560" w:right="0" w:hanging="1080"/>
        <w:jc w:val="center"/>
      </w:pPr>
      <w:r>
        <w:rPr>
          <w:rFonts w:hint="default" w:ascii="color:#333333;" w:hAnsi="color:#333333;" w:eastAsia="color:#333333;" w:cs="color:#333333;"/>
          <w:sz w:val="24"/>
          <w:szCs w:val="24"/>
          <w:bdr w:val="none" w:color="auto" w:sz="0" w:space="0"/>
        </w:rPr>
        <w:t>第二节     社会福利制度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default" w:ascii="color:#333333;" w:hAnsi="color:#333333;" w:eastAsia="color:#333333;" w:cs="color:#333333;"/>
          <w:kern w:val="0"/>
          <w:sz w:val="24"/>
          <w:szCs w:val="24"/>
          <w:bdr w:val="none" w:color="auto" w:sz="0" w:space="0"/>
          <w:lang w:val="en-US" w:eastAsia="zh-CN" w:bidi="ar"/>
        </w:rPr>
        <w:t>制定实施本省老年人基本养老公共服务清单，进一步整合服务资源，丰富照顾服务项目，创新和优化照顾服务提供方式。着力保障特殊困难老年人的养老服务需求，确保人人能够享有基本养老服务。完善高龄津贴制度，鼓励有条件的地方逐步降低年龄，提高补贴标准。落实</w:t>
      </w:r>
      <w:r>
        <w:rPr>
          <w:rFonts w:hint="eastAsia" w:ascii="宋体" w:hAnsi="宋体" w:eastAsia="宋体" w:cs="宋体"/>
          <w:color w:val="333333"/>
          <w:kern w:val="0"/>
          <w:sz w:val="24"/>
          <w:szCs w:val="24"/>
          <w:bdr w:val="none" w:color="auto" w:sz="0" w:space="0"/>
          <w:lang w:val="en-US" w:eastAsia="zh-CN" w:bidi="ar"/>
        </w:rPr>
        <w:t>80</w:t>
      </w:r>
      <w:r>
        <w:rPr>
          <w:rFonts w:hint="default" w:ascii="color:#333333;" w:hAnsi="color:#333333;" w:eastAsia="color:#333333;" w:cs="color:#333333;"/>
          <w:kern w:val="0"/>
          <w:sz w:val="24"/>
          <w:szCs w:val="24"/>
          <w:bdr w:val="none" w:color="auto" w:sz="0" w:space="0"/>
          <w:lang w:val="en-US" w:eastAsia="zh-CN" w:bidi="ar"/>
        </w:rPr>
        <w:t>周岁以上老年人高龄津贴、经济困难的高龄和失能等老年人的养老服务补贴制度；对生活不能自理的特困供养人员给予照料护理，标准按照不低于基本生活标准的</w:t>
      </w:r>
      <w:r>
        <w:rPr>
          <w:rFonts w:hint="eastAsia" w:ascii="宋体" w:hAnsi="宋体" w:eastAsia="宋体" w:cs="宋体"/>
          <w:color w:val="333333"/>
          <w:kern w:val="0"/>
          <w:sz w:val="24"/>
          <w:szCs w:val="24"/>
          <w:bdr w:val="none" w:color="auto" w:sz="0" w:space="0"/>
          <w:lang w:val="en-US" w:eastAsia="zh-CN" w:bidi="ar"/>
        </w:rPr>
        <w:t>10%</w:t>
      </w:r>
      <w:r>
        <w:rPr>
          <w:rFonts w:hint="default" w:ascii="color:#333333;" w:hAnsi="color:#333333;" w:eastAsia="color:#333333;" w:cs="color:#333333;"/>
          <w:kern w:val="0"/>
          <w:sz w:val="24"/>
          <w:szCs w:val="24"/>
          <w:bdr w:val="none" w:color="auto" w:sz="0" w:space="0"/>
          <w:lang w:val="en-US" w:eastAsia="zh-CN" w:bidi="ar"/>
        </w:rPr>
        <w:t>确定，集中供养对象标准可适当提高。鼓励有条件的地方整合各类津贴、补贴，充分发挥资金使用效益。完善农村计划生育家庭奖励扶助和特别扶助制度。加强对失独家庭的关爱和帮助。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eastAsia" w:ascii="宋体" w:hAnsi="宋体" w:eastAsia="宋体" w:cs="宋体"/>
          <w:color w:val="333333"/>
          <w:kern w:val="0"/>
          <w:sz w:val="24"/>
          <w:szCs w:val="24"/>
          <w:bdr w:val="none" w:color="auto" w:sz="0" w:space="0"/>
          <w:lang w:val="en-US" w:eastAsia="zh-CN" w:bidi="ar"/>
        </w:rPr>
        <w:t> </w:t>
      </w:r>
    </w:p>
    <w:tbl>
      <w:tblPr>
        <w:tblW w:w="8306" w:type="dxa"/>
        <w:jc w:val="center"/>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jc w:val="center"/>
        </w:trPr>
        <w:tc>
          <w:tcPr>
            <w:tcW w:w="830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pPr>
            <w:r>
              <w:rPr>
                <w:rFonts w:hint="default" w:ascii="color:#333333;" w:hAnsi="color:#333333;" w:eastAsia="color:#333333;" w:cs="color:#333333;"/>
                <w:color w:val="333333"/>
                <w:kern w:val="0"/>
                <w:sz w:val="24"/>
                <w:szCs w:val="24"/>
                <w:bdr w:val="none" w:color="auto" w:sz="0" w:space="0"/>
                <w:lang w:val="en-US" w:eastAsia="zh-CN" w:bidi="ar"/>
              </w:rPr>
              <w:t>专栏</w:t>
            </w:r>
            <w:r>
              <w:rPr>
                <w:rFonts w:hint="eastAsia" w:ascii="宋体" w:hAnsi="宋体" w:eastAsia="宋体" w:cs="宋体"/>
                <w:color w:val="333333"/>
                <w:kern w:val="0"/>
                <w:sz w:val="24"/>
                <w:szCs w:val="24"/>
                <w:bdr w:val="none" w:color="auto" w:sz="0" w:space="0"/>
                <w:lang w:val="en-US" w:eastAsia="zh-CN" w:bidi="ar"/>
              </w:rPr>
              <w:t>4  </w:t>
            </w:r>
            <w:r>
              <w:rPr>
                <w:rFonts w:hint="default" w:ascii="color:#333333;" w:hAnsi="color:#333333;" w:eastAsia="color:#333333;" w:cs="color:#333333;"/>
                <w:color w:val="333333"/>
                <w:kern w:val="0"/>
                <w:sz w:val="24"/>
                <w:szCs w:val="24"/>
                <w:bdr w:val="none" w:color="auto" w:sz="0" w:space="0"/>
                <w:lang w:val="en-US" w:eastAsia="zh-CN" w:bidi="ar"/>
              </w:rPr>
              <w:t>基本养老公共服务项目工程</w:t>
            </w:r>
          </w:p>
        </w:tc>
      </w:tr>
      <w:tr>
        <w:tblPrEx>
          <w:shd w:val="clear"/>
          <w:tblLayout w:type="fixed"/>
          <w:tblCellMar>
            <w:top w:w="0" w:type="dxa"/>
            <w:left w:w="0" w:type="dxa"/>
            <w:bottom w:w="0" w:type="dxa"/>
            <w:right w:w="0" w:type="dxa"/>
          </w:tblCellMar>
        </w:tblPrEx>
        <w:trPr>
          <w:jc w:val="center"/>
        </w:trPr>
        <w:tc>
          <w:tcPr>
            <w:tcW w:w="830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left"/>
            </w:pPr>
            <w:r>
              <w:rPr>
                <w:rFonts w:hint="default" w:ascii="color:#333333;" w:hAnsi="color:#333333;" w:eastAsia="color:#333333;" w:cs="color:#333333;"/>
                <w:color w:val="333333"/>
                <w:kern w:val="0"/>
                <w:sz w:val="24"/>
                <w:szCs w:val="24"/>
                <w:bdr w:val="none" w:color="auto" w:sz="0" w:space="0"/>
                <w:lang w:val="en-US" w:eastAsia="zh-CN" w:bidi="ar"/>
              </w:rPr>
              <w:t>完善高龄津贴制度。为</w:t>
            </w:r>
            <w:r>
              <w:rPr>
                <w:rFonts w:hint="eastAsia" w:ascii="宋体" w:hAnsi="宋体" w:eastAsia="宋体" w:cs="宋体"/>
                <w:color w:val="333333"/>
                <w:kern w:val="0"/>
                <w:sz w:val="24"/>
                <w:szCs w:val="24"/>
                <w:bdr w:val="none" w:color="auto" w:sz="0" w:space="0"/>
                <w:lang w:val="en-US" w:eastAsia="zh-CN" w:bidi="ar"/>
              </w:rPr>
              <w:t>80</w:t>
            </w:r>
            <w:r>
              <w:rPr>
                <w:rFonts w:hint="default" w:ascii="color:#333333;" w:hAnsi="color:#333333;" w:eastAsia="color:#333333;" w:cs="color:#333333;"/>
                <w:color w:val="333333"/>
                <w:kern w:val="0"/>
                <w:sz w:val="24"/>
                <w:szCs w:val="24"/>
                <w:bdr w:val="none" w:color="auto" w:sz="0" w:space="0"/>
                <w:lang w:val="en-US" w:eastAsia="zh-CN" w:bidi="ar"/>
              </w:rPr>
              <w:t>周岁以上老年人按月发放高龄津贴，标准由设区的市、县（市、区）人民政府制定。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left"/>
            </w:pPr>
            <w:r>
              <w:rPr>
                <w:rFonts w:hint="default" w:ascii="color:#333333;" w:hAnsi="color:#333333;" w:eastAsia="color:#333333;" w:cs="color:#333333;"/>
                <w:color w:val="333333"/>
                <w:kern w:val="0"/>
                <w:sz w:val="24"/>
                <w:szCs w:val="24"/>
                <w:bdr w:val="none" w:color="auto" w:sz="0" w:space="0"/>
                <w:lang w:val="en-US" w:eastAsia="zh-CN" w:bidi="ar"/>
              </w:rPr>
              <w:t>完善低收入老年人养老服务补贴。为经济困难的高龄、失能老年人给予养老服务补贴，标准由设区的市、县（市、区）人民政府制定。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left"/>
            </w:pPr>
            <w:r>
              <w:rPr>
                <w:rFonts w:hint="default" w:ascii="color:#333333;" w:hAnsi="color:#333333;" w:eastAsia="color:#333333;" w:cs="color:#333333;"/>
                <w:color w:val="333333"/>
                <w:kern w:val="0"/>
                <w:sz w:val="24"/>
                <w:szCs w:val="24"/>
                <w:bdr w:val="none" w:color="auto" w:sz="0" w:space="0"/>
                <w:lang w:val="en-US" w:eastAsia="zh-CN" w:bidi="ar"/>
              </w:rPr>
              <w:t>完善特困供养人员中的老年人基本生活和照料保障。对纳入特困供养范围的老年人按照不低于当地人均消费性支出的</w:t>
            </w:r>
            <w:r>
              <w:rPr>
                <w:rFonts w:hint="eastAsia" w:ascii="宋体" w:hAnsi="宋体" w:eastAsia="宋体" w:cs="宋体"/>
                <w:color w:val="333333"/>
                <w:kern w:val="0"/>
                <w:sz w:val="24"/>
                <w:szCs w:val="24"/>
                <w:bdr w:val="none" w:color="auto" w:sz="0" w:space="0"/>
                <w:lang w:val="en-US" w:eastAsia="zh-CN" w:bidi="ar"/>
              </w:rPr>
              <w:t>60%</w:t>
            </w:r>
            <w:r>
              <w:rPr>
                <w:rFonts w:hint="default" w:ascii="color:#333333;" w:hAnsi="color:#333333;" w:eastAsia="color:#333333;" w:cs="color:#333333;"/>
                <w:color w:val="333333"/>
                <w:kern w:val="0"/>
                <w:sz w:val="24"/>
                <w:szCs w:val="24"/>
                <w:bdr w:val="none" w:color="auto" w:sz="0" w:space="0"/>
                <w:lang w:val="en-US" w:eastAsia="zh-CN" w:bidi="ar"/>
              </w:rPr>
              <w:t>确定基本生活标准，按不低于基本生活标准的</w:t>
            </w:r>
            <w:r>
              <w:rPr>
                <w:rFonts w:hint="eastAsia" w:ascii="宋体" w:hAnsi="宋体" w:eastAsia="宋体" w:cs="宋体"/>
                <w:color w:val="333333"/>
                <w:kern w:val="0"/>
                <w:sz w:val="24"/>
                <w:szCs w:val="24"/>
                <w:bdr w:val="none" w:color="auto" w:sz="0" w:space="0"/>
                <w:lang w:val="en-US" w:eastAsia="zh-CN" w:bidi="ar"/>
              </w:rPr>
              <w:t>10%</w:t>
            </w:r>
            <w:r>
              <w:rPr>
                <w:rFonts w:hint="default" w:ascii="color:#333333;" w:hAnsi="color:#333333;" w:eastAsia="color:#333333;" w:cs="color:#333333;"/>
                <w:color w:val="333333"/>
                <w:kern w:val="0"/>
                <w:sz w:val="24"/>
                <w:szCs w:val="24"/>
                <w:bdr w:val="none" w:color="auto" w:sz="0" w:space="0"/>
                <w:lang w:val="en-US" w:eastAsia="zh-CN" w:bidi="ar"/>
              </w:rPr>
              <w:t>确定照料护理标准。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left"/>
            </w:pPr>
            <w:r>
              <w:rPr>
                <w:rFonts w:hint="default" w:ascii="color:#333333;" w:hAnsi="color:#333333;" w:eastAsia="color:#333333;" w:cs="color:#333333;"/>
                <w:color w:val="333333"/>
                <w:kern w:val="0"/>
                <w:sz w:val="24"/>
                <w:szCs w:val="24"/>
                <w:bdr w:val="none" w:color="auto" w:sz="0" w:space="0"/>
                <w:lang w:val="en-US" w:eastAsia="zh-CN" w:bidi="ar"/>
              </w:rPr>
              <w:t>结合户籍制度改革和新型城镇化建设，统筹利用各类社会养老资源，推动建立跨地区养老服务协作机制，鼓励城市支援农村、发达地区支援欠发达地区，推进全省基本养老公共服务均等化。</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pPr>
      <w:r>
        <w:rPr>
          <w:rFonts w:hint="default" w:ascii="color:#333333;" w:hAnsi="color:#333333;" w:eastAsia="color:#333333;" w:cs="color:#333333;"/>
          <w:kern w:val="0"/>
          <w:sz w:val="24"/>
          <w:szCs w:val="24"/>
          <w:bdr w:val="none" w:color="auto" w:sz="0" w:space="0"/>
          <w:lang w:val="en-US" w:eastAsia="zh-CN" w:bidi="ar"/>
        </w:rPr>
        <w:t>第三节</w:t>
      </w:r>
      <w:r>
        <w:rPr>
          <w:rFonts w:hint="eastAsia" w:ascii="宋体" w:hAnsi="宋体" w:eastAsia="宋体" w:cs="宋体"/>
          <w:color w:val="333333"/>
          <w:kern w:val="0"/>
          <w:sz w:val="24"/>
          <w:szCs w:val="24"/>
          <w:bdr w:val="none" w:color="auto" w:sz="0" w:space="0"/>
          <w:lang w:val="en-US" w:eastAsia="zh-CN" w:bidi="ar"/>
        </w:rPr>
        <w:t>  </w:t>
      </w:r>
      <w:r>
        <w:rPr>
          <w:rFonts w:hint="default" w:ascii="color:#333333;" w:hAnsi="color:#333333;" w:eastAsia="color:#333333;" w:cs="color:#333333;"/>
          <w:kern w:val="0"/>
          <w:sz w:val="24"/>
          <w:szCs w:val="24"/>
          <w:bdr w:val="none" w:color="auto" w:sz="0" w:space="0"/>
          <w:lang w:val="en-US" w:eastAsia="zh-CN" w:bidi="ar"/>
        </w:rPr>
        <w:t>社会救助制度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default" w:ascii="color:#333333;" w:hAnsi="color:#333333;" w:eastAsia="color:#333333;" w:cs="color:#333333;"/>
          <w:kern w:val="0"/>
          <w:sz w:val="24"/>
          <w:szCs w:val="24"/>
          <w:bdr w:val="none" w:color="auto" w:sz="0" w:space="0"/>
          <w:lang w:val="en-US" w:eastAsia="zh-CN" w:bidi="ar"/>
        </w:rPr>
        <w:t>确保所有符合条件的老年人按规定纳入最低生活保障、特困人员救助供养等社会救助制度保障范围。完善医疗救助制度，将符合条件的农村贫困老年人全部纳入医疗救助范围。低保对象、特困人员参加当地农村合作医疗或城镇居民医疗保险的，由城乡医疗救助资金代其缴纳个人应负担的全部参合（保）资金。对低保对象、特困人员不设医疗救助起付线，在年度救助限额内，其合规住院自负费用救助比例不低于</w:t>
      </w:r>
      <w:r>
        <w:rPr>
          <w:rFonts w:hint="eastAsia" w:ascii="宋体" w:hAnsi="宋体" w:eastAsia="宋体" w:cs="宋体"/>
          <w:color w:val="333333"/>
          <w:kern w:val="0"/>
          <w:sz w:val="24"/>
          <w:szCs w:val="24"/>
          <w:bdr w:val="none" w:color="auto" w:sz="0" w:space="0"/>
          <w:lang w:val="en-US" w:eastAsia="zh-CN" w:bidi="ar"/>
        </w:rPr>
        <w:t>70%</w:t>
      </w:r>
      <w:r>
        <w:rPr>
          <w:rFonts w:hint="default" w:ascii="color:#333333;" w:hAnsi="color:#333333;" w:eastAsia="color:#333333;" w:cs="color:#333333;"/>
          <w:kern w:val="0"/>
          <w:sz w:val="24"/>
          <w:szCs w:val="24"/>
          <w:bdr w:val="none" w:color="auto" w:sz="0" w:space="0"/>
          <w:lang w:val="en-US" w:eastAsia="zh-CN" w:bidi="ar"/>
        </w:rPr>
        <w:t>。全面开展重特大疾病医疗救助，逐步将低收入家庭老年人纳入救助范围。完善临时救助制度，全面实施对老年人的“救急难”工作，按规定对流浪乞讨、遭受遗弃等生活无着老年人给予救助。落实农村最低生活保障制度与扶贫开发政策有效衔接有关政策要求，确保现行扶贫标准下农村贫困老年人实现脱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pPr>
      <w:r>
        <w:rPr>
          <w:rFonts w:hint="default" w:ascii="color:#333333;" w:hAnsi="color:#333333;" w:eastAsia="color:#333333;" w:cs="color:#333333;"/>
          <w:kern w:val="0"/>
          <w:sz w:val="24"/>
          <w:szCs w:val="24"/>
          <w:bdr w:val="none" w:color="auto" w:sz="0" w:space="0"/>
          <w:lang w:val="en-US" w:eastAsia="zh-CN" w:bidi="ar"/>
        </w:rPr>
        <w:t>第四节</w:t>
      </w:r>
      <w:r>
        <w:rPr>
          <w:rFonts w:hint="eastAsia" w:ascii="宋体" w:hAnsi="宋体" w:eastAsia="宋体" w:cs="宋体"/>
          <w:color w:val="333333"/>
          <w:kern w:val="0"/>
          <w:sz w:val="24"/>
          <w:szCs w:val="24"/>
          <w:bdr w:val="none" w:color="auto" w:sz="0" w:space="0"/>
          <w:lang w:val="en-US" w:eastAsia="zh-CN" w:bidi="ar"/>
        </w:rPr>
        <w:t>  </w:t>
      </w:r>
      <w:r>
        <w:rPr>
          <w:rFonts w:hint="default" w:ascii="color:#333333;" w:hAnsi="color:#333333;" w:eastAsia="color:#333333;" w:cs="color:#333333;"/>
          <w:kern w:val="0"/>
          <w:sz w:val="24"/>
          <w:szCs w:val="24"/>
          <w:bdr w:val="none" w:color="auto" w:sz="0" w:space="0"/>
          <w:lang w:val="en-US" w:eastAsia="zh-CN" w:bidi="ar"/>
        </w:rPr>
        <w:t>公益慈善事业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default" w:ascii="color:#333333;" w:hAnsi="color:#333333;" w:eastAsia="color:#333333;" w:cs="color:#333333;"/>
          <w:kern w:val="0"/>
          <w:sz w:val="24"/>
          <w:szCs w:val="24"/>
          <w:bdr w:val="none" w:color="auto" w:sz="0" w:space="0"/>
          <w:lang w:val="en-US" w:eastAsia="zh-CN" w:bidi="ar"/>
        </w:rPr>
        <w:t>发展老年慈善事业，发挥社会慈善在老年人扶贫济困中的补充作用，鼓励社会组织和个人认捐、认助、认养孤寡或者贫困老年人。健全慈善参与机制，丰富慈善项目内容，规范为老服务志愿者队伍。发挥为老服务公益平台作用，促进供求信息互通，帮助空巢困难老人解决实际问题。开展慈善信托、安全知识教育、急救技能培训、突发事故防范等形式多样的公益慈善活动。依法依规加强对公益慈善组织、公益慈善活动的扶持和监管，依法依规及时查处以公益慈善为名实施的侵害老年人合法权益等违反法律法规、违背公序良俗的行为。民政部门与其他社会救助管理部门实现信息共享，同时建立和完善民政部门与慈善组织、社会服务机构之间的衔接机制，形成社会救助和慈善资源的信息有效对接。对经过社会救助后仍需要帮扶的救助对象，民政部门要及时与慈善组织、社会服务机构协商，实现政府救助与社会帮扶的有机结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2"/>
        <w:jc w:val="center"/>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2"/>
        <w:jc w:val="center"/>
      </w:pPr>
      <w:r>
        <w:rPr>
          <w:rFonts w:hint="default" w:ascii="color:#333333;" w:hAnsi="color:#333333;" w:eastAsia="color:#333333;" w:cs="color:#333333;"/>
          <w:b/>
          <w:kern w:val="0"/>
          <w:sz w:val="24"/>
          <w:szCs w:val="24"/>
          <w:bdr w:val="none" w:color="auto" w:sz="0" w:space="0"/>
          <w:lang w:val="en-US" w:eastAsia="zh-CN" w:bidi="ar"/>
        </w:rPr>
        <w:t>第四章</w:t>
      </w:r>
      <w:r>
        <w:rPr>
          <w:rFonts w:hint="eastAsia" w:ascii="宋体" w:hAnsi="宋体" w:eastAsia="宋体" w:cs="宋体"/>
          <w:b/>
          <w:color w:val="333333"/>
          <w:kern w:val="0"/>
          <w:sz w:val="24"/>
          <w:szCs w:val="24"/>
          <w:bdr w:val="none" w:color="auto" w:sz="0" w:space="0"/>
          <w:lang w:val="en-US" w:eastAsia="zh-CN" w:bidi="ar"/>
        </w:rPr>
        <w:t> </w:t>
      </w:r>
      <w:r>
        <w:rPr>
          <w:rFonts w:hint="default" w:ascii="color:#333333;" w:hAnsi="color:#333333;" w:eastAsia="color:#333333;" w:cs="color:#333333;"/>
          <w:b/>
          <w:kern w:val="0"/>
          <w:sz w:val="24"/>
          <w:szCs w:val="24"/>
          <w:bdr w:val="none" w:color="auto" w:sz="0" w:space="0"/>
          <w:lang w:val="en-US" w:eastAsia="zh-CN" w:bidi="ar"/>
        </w:rPr>
        <w:t> 健全养老服务体系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pPr>
      <w:r>
        <w:rPr>
          <w:rFonts w:hint="default" w:ascii="color:#333333;" w:hAnsi="color:#333333;" w:eastAsia="color:#333333;" w:cs="color:#333333;"/>
          <w:kern w:val="0"/>
          <w:sz w:val="24"/>
          <w:szCs w:val="24"/>
          <w:bdr w:val="none" w:color="auto" w:sz="0" w:space="0"/>
          <w:lang w:val="en-US" w:eastAsia="zh-CN" w:bidi="ar"/>
        </w:rPr>
        <w:t>第一节</w:t>
      </w:r>
      <w:r>
        <w:rPr>
          <w:rFonts w:hint="eastAsia" w:ascii="宋体" w:hAnsi="宋体" w:eastAsia="宋体" w:cs="宋体"/>
          <w:color w:val="333333"/>
          <w:kern w:val="0"/>
          <w:sz w:val="24"/>
          <w:szCs w:val="24"/>
          <w:bdr w:val="none" w:color="auto" w:sz="0" w:space="0"/>
          <w:lang w:val="en-US" w:eastAsia="zh-CN" w:bidi="ar"/>
        </w:rPr>
        <w:t>  </w:t>
      </w:r>
      <w:r>
        <w:rPr>
          <w:rFonts w:hint="default" w:ascii="color:#333333;" w:hAnsi="color:#333333;" w:eastAsia="color:#333333;" w:cs="color:#333333;"/>
          <w:kern w:val="0"/>
          <w:sz w:val="24"/>
          <w:szCs w:val="24"/>
          <w:bdr w:val="none" w:color="auto" w:sz="0" w:space="0"/>
          <w:lang w:val="en-US" w:eastAsia="zh-CN" w:bidi="ar"/>
        </w:rPr>
        <w:t>巩固家庭养老传统社会基础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default" w:ascii="color:#333333;" w:hAnsi="color:#333333;" w:eastAsia="color:#333333;" w:cs="color:#333333;"/>
          <w:kern w:val="0"/>
          <w:sz w:val="24"/>
          <w:szCs w:val="24"/>
          <w:bdr w:val="none" w:color="auto" w:sz="0" w:space="0"/>
          <w:lang w:val="en-US" w:eastAsia="zh-CN" w:bidi="ar"/>
        </w:rPr>
        <w:t>加强家庭建设，引导家庭成员尊重、关心和照料老年人，自觉承担家庭责任、树立良好家风，巩固家庭养老传统社会基础。强化赡养责任，强化成年子女以及其他依法负有赡养义务的人履行对老年人经济供养、生活照料、精神慰藉的义务，照顾老年人的特殊需要。鼓励签订家庭赡养协议书。发挥老年人优良品行在家庭教育中的潜移默化作用。逐步建立支持家庭养老的政策体系。鼓励开发老年宜居住宅和代际亲情住宅，鼓励家庭成员与老年人共同生活或者就近居住，鼓励制定完善带薪休假政策，为子女照顾父母提供条件。鼓励养老机构和社区居家服务平台，为照顾老年人的家庭成员或家政人员提供技能培训。鼓励养老机构和社区养老服务设施提供老年人短期入住床位，为照顾老年人的家庭成员提供支持性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pPr>
      <w:r>
        <w:rPr>
          <w:rFonts w:hint="default" w:ascii="color:#333333;" w:hAnsi="color:#333333;" w:eastAsia="color:#333333;" w:cs="color:#333333;"/>
          <w:kern w:val="0"/>
          <w:sz w:val="24"/>
          <w:szCs w:val="24"/>
          <w:bdr w:val="none" w:color="auto" w:sz="0" w:space="0"/>
          <w:lang w:val="en-US" w:eastAsia="zh-CN" w:bidi="ar"/>
        </w:rPr>
        <w:t>第二节</w:t>
      </w:r>
      <w:r>
        <w:rPr>
          <w:rFonts w:hint="eastAsia" w:ascii="宋体" w:hAnsi="宋体" w:eastAsia="宋体" w:cs="宋体"/>
          <w:color w:val="333333"/>
          <w:kern w:val="0"/>
          <w:sz w:val="24"/>
          <w:szCs w:val="24"/>
          <w:bdr w:val="none" w:color="auto" w:sz="0" w:space="0"/>
          <w:lang w:val="en-US" w:eastAsia="zh-CN" w:bidi="ar"/>
        </w:rPr>
        <w:t>  </w:t>
      </w:r>
      <w:r>
        <w:rPr>
          <w:rFonts w:hint="default" w:ascii="color:#333333;" w:hAnsi="color:#333333;" w:eastAsia="color:#333333;" w:cs="color:#333333;"/>
          <w:kern w:val="0"/>
          <w:sz w:val="24"/>
          <w:szCs w:val="24"/>
          <w:bdr w:val="none" w:color="auto" w:sz="0" w:space="0"/>
          <w:lang w:val="en-US" w:eastAsia="zh-CN" w:bidi="ar"/>
        </w:rPr>
        <w:t>夯实居家社区养老服务基础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default" w:ascii="color:#333333;" w:hAnsi="color:#333333;" w:eastAsia="color:#333333;" w:cs="color:#333333;"/>
          <w:kern w:val="0"/>
          <w:sz w:val="24"/>
          <w:szCs w:val="24"/>
          <w:bdr w:val="none" w:color="auto" w:sz="0" w:space="0"/>
          <w:lang w:val="en-US" w:eastAsia="zh-CN" w:bidi="ar"/>
        </w:rPr>
        <w:t>大力发展居家社区养老服务。支持城乡社区发挥供需对接、服务引导等作用，加强居家养老服务信息汇集，引导社区日间照料中心等养老服务机构依托社区综合服务设施和社区公共服务综合信息平台，创新服务模式，提高质量效率，为老年人提供精准化个性化专业化服务。到</w:t>
      </w:r>
      <w:r>
        <w:rPr>
          <w:rFonts w:hint="eastAsia" w:ascii="宋体" w:hAnsi="宋体" w:eastAsia="宋体" w:cs="宋体"/>
          <w:color w:val="333333"/>
          <w:kern w:val="0"/>
          <w:sz w:val="24"/>
          <w:szCs w:val="24"/>
          <w:bdr w:val="none" w:color="auto" w:sz="0" w:space="0"/>
          <w:lang w:val="en-US" w:eastAsia="zh-CN" w:bidi="ar"/>
        </w:rPr>
        <w:t>2018</w:t>
      </w:r>
      <w:r>
        <w:rPr>
          <w:rFonts w:hint="default" w:ascii="color:#333333;" w:hAnsi="color:#333333;" w:eastAsia="color:#333333;" w:cs="color:#333333;"/>
          <w:kern w:val="0"/>
          <w:sz w:val="24"/>
          <w:szCs w:val="24"/>
          <w:bdr w:val="none" w:color="auto" w:sz="0" w:space="0"/>
          <w:lang w:val="en-US" w:eastAsia="zh-CN" w:bidi="ar"/>
        </w:rPr>
        <w:t>年，全省规划建设</w:t>
      </w:r>
      <w:r>
        <w:rPr>
          <w:rFonts w:hint="eastAsia" w:ascii="宋体" w:hAnsi="宋体" w:eastAsia="宋体" w:cs="宋体"/>
          <w:color w:val="333333"/>
          <w:kern w:val="0"/>
          <w:sz w:val="24"/>
          <w:szCs w:val="24"/>
          <w:bdr w:val="none" w:color="auto" w:sz="0" w:space="0"/>
          <w:lang w:val="en-US" w:eastAsia="zh-CN" w:bidi="ar"/>
        </w:rPr>
        <w:t>50</w:t>
      </w:r>
      <w:r>
        <w:rPr>
          <w:rFonts w:hint="default" w:ascii="color:#333333;" w:hAnsi="color:#333333;" w:eastAsia="color:#333333;" w:cs="color:#333333;"/>
          <w:kern w:val="0"/>
          <w:sz w:val="24"/>
          <w:szCs w:val="24"/>
          <w:bdr w:val="none" w:color="auto" w:sz="0" w:space="0"/>
          <w:lang w:val="en-US" w:eastAsia="zh-CN" w:bidi="ar"/>
        </w:rPr>
        <w:t>所小区嵌入式、为老年人就近提供集中照护服务的“长者照护之家”。鼓励居家养老服务企业和社会组织上门为居家老年人提供定制服务。积极培育专业居家养老服务企业和机构，大力开发养老服务公益创投项目，探索建立虚拟养老院。支持居民委员会、村民委员会和城乡社区建立日常联系、巡访制度，及时了解老年人特别是困难家庭和单独居住老年人的生活状况，帮助老年人解决实际困难。鼓励老年人参加社区自助互助养老。鼓励有条件的地方推动扶持残疾、失能、高龄等老年人家庭开展适应老年人生活特点和安全需要的家庭住宅装修、家具设施、辅助设备等建设、配备、改造工作，对其中的经济困难老年人家庭给予适当补助。大力推行政府购买服务，完善政府购买服务目录，规范政府购买服务行为，推动专业化居家社区养老机构发展。到</w:t>
      </w:r>
      <w:r>
        <w:rPr>
          <w:rFonts w:hint="eastAsia" w:ascii="宋体" w:hAnsi="宋体" w:eastAsia="宋体" w:cs="宋体"/>
          <w:color w:val="333333"/>
          <w:kern w:val="0"/>
          <w:sz w:val="24"/>
          <w:szCs w:val="24"/>
          <w:bdr w:val="none" w:color="auto" w:sz="0" w:space="0"/>
          <w:lang w:val="en-US" w:eastAsia="zh-CN" w:bidi="ar"/>
        </w:rPr>
        <w:t>2020</w:t>
      </w:r>
      <w:r>
        <w:rPr>
          <w:rFonts w:hint="default" w:ascii="color:#333333;" w:hAnsi="color:#333333;" w:eastAsia="color:#333333;" w:cs="color:#333333;"/>
          <w:kern w:val="0"/>
          <w:sz w:val="24"/>
          <w:szCs w:val="24"/>
          <w:bdr w:val="none" w:color="auto" w:sz="0" w:space="0"/>
          <w:lang w:val="en-US" w:eastAsia="zh-CN" w:bidi="ar"/>
        </w:rPr>
        <w:t>年，打造</w:t>
      </w:r>
      <w:r>
        <w:rPr>
          <w:rFonts w:hint="eastAsia" w:ascii="宋体" w:hAnsi="宋体" w:eastAsia="宋体" w:cs="宋体"/>
          <w:color w:val="333333"/>
          <w:kern w:val="0"/>
          <w:sz w:val="24"/>
          <w:szCs w:val="24"/>
          <w:bdr w:val="none" w:color="auto" w:sz="0" w:space="0"/>
          <w:lang w:val="en-US" w:eastAsia="zh-CN" w:bidi="ar"/>
        </w:rPr>
        <w:t>10</w:t>
      </w:r>
      <w:r>
        <w:rPr>
          <w:rFonts w:hint="default" w:ascii="color:#333333;" w:hAnsi="color:#333333;" w:eastAsia="color:#333333;" w:cs="color:#333333;"/>
          <w:kern w:val="0"/>
          <w:sz w:val="24"/>
          <w:szCs w:val="24"/>
          <w:bdr w:val="none" w:color="auto" w:sz="0" w:space="0"/>
          <w:lang w:val="en-US" w:eastAsia="zh-CN" w:bidi="ar"/>
        </w:rPr>
        <w:t>个规模化、品牌化、连锁化的居家养老服务公司（社会组织），推动养老机构、养老服务供应商走进社区、服务家庭。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default" w:ascii="color:#333333;" w:hAnsi="color:#333333;" w:eastAsia="color:#333333;" w:cs="color:#333333;"/>
          <w:kern w:val="0"/>
          <w:sz w:val="24"/>
          <w:szCs w:val="24"/>
          <w:bdr w:val="none" w:color="auto" w:sz="0" w:space="0"/>
          <w:lang w:val="en-US" w:eastAsia="zh-CN" w:bidi="ar"/>
        </w:rPr>
        <w:t>健全社区居家养老服务网络。建立老年人需求评估体系，全面开展老年人需求评估。到</w:t>
      </w:r>
      <w:r>
        <w:rPr>
          <w:rFonts w:hint="eastAsia" w:ascii="宋体" w:hAnsi="宋体" w:eastAsia="宋体" w:cs="宋体"/>
          <w:color w:val="333333"/>
          <w:kern w:val="0"/>
          <w:sz w:val="24"/>
          <w:szCs w:val="24"/>
          <w:bdr w:val="none" w:color="auto" w:sz="0" w:space="0"/>
          <w:lang w:val="en-US" w:eastAsia="zh-CN" w:bidi="ar"/>
        </w:rPr>
        <w:t>2020</w:t>
      </w:r>
      <w:r>
        <w:rPr>
          <w:rFonts w:hint="default" w:ascii="color:#333333;" w:hAnsi="color:#333333;" w:eastAsia="color:#333333;" w:cs="color:#333333;"/>
          <w:kern w:val="0"/>
          <w:sz w:val="24"/>
          <w:szCs w:val="24"/>
          <w:bdr w:val="none" w:color="auto" w:sz="0" w:space="0"/>
          <w:lang w:val="en-US" w:eastAsia="zh-CN" w:bidi="ar"/>
        </w:rPr>
        <w:t>年，全省普遍建立老年人能力和需求评估体系。以需求为导向，在城镇，推进县区居家养老服务指导中心、街道居家养老服务资源整合中心、社区为老服务中心“三个中心”建设；在农村，建立高龄、留守等老年人探视走访网络、居家老年人互助服务网络、不能自理老年人集中住养和照料护理网络“三个网络”。以老年人需求评估体系建设为核心，以“三个中心（网络）”为依托，广泛建立与居家老年人实际需求相适应、与我省居家和社区养老基本公共服务供给能力相匹配的</w:t>
      </w:r>
      <w:r>
        <w:rPr>
          <w:rFonts w:hint="eastAsia" w:ascii="宋体" w:hAnsi="宋体" w:eastAsia="宋体" w:cs="宋体"/>
          <w:color w:val="333333"/>
          <w:kern w:val="0"/>
          <w:sz w:val="24"/>
          <w:szCs w:val="24"/>
          <w:bdr w:val="none" w:color="auto" w:sz="0" w:space="0"/>
          <w:lang w:val="en-US" w:eastAsia="zh-CN" w:bidi="ar"/>
        </w:rPr>
        <w:t>20</w:t>
      </w:r>
      <w:r>
        <w:rPr>
          <w:rFonts w:hint="default" w:ascii="color:#333333;" w:hAnsi="color:#333333;" w:eastAsia="color:#333333;" w:cs="color:#333333;"/>
          <w:kern w:val="0"/>
          <w:sz w:val="24"/>
          <w:szCs w:val="24"/>
          <w:bdr w:val="none" w:color="auto" w:sz="0" w:space="0"/>
          <w:lang w:val="en-US" w:eastAsia="zh-CN" w:bidi="ar"/>
        </w:rPr>
        <w:t>分钟居家养老服务圈。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default" w:ascii="color:#333333;" w:hAnsi="color:#333333;" w:eastAsia="color:#333333;" w:cs="color:#333333;"/>
          <w:kern w:val="0"/>
          <w:sz w:val="24"/>
          <w:szCs w:val="24"/>
          <w:bdr w:val="none" w:color="auto" w:sz="0" w:space="0"/>
          <w:lang w:val="en-US" w:eastAsia="zh-CN" w:bidi="ar"/>
        </w:rPr>
        <w:t>加强社区养老服务设施建设。统筹规划发展城乡社区养老服务设施，新建城区和新建居住（小）区要将城乡社区养老服务设施同步规划、同步建设、同步验收、同步交付使用。老城区和已建成居住（小）区无养老服务设施或现有设施未达到规划要求的，通过购置、置换、租赁等方式建设。到</w:t>
      </w:r>
      <w:r>
        <w:rPr>
          <w:rFonts w:hint="eastAsia" w:ascii="宋体" w:hAnsi="宋体" w:eastAsia="宋体" w:cs="宋体"/>
          <w:color w:val="333333"/>
          <w:kern w:val="0"/>
          <w:sz w:val="24"/>
          <w:szCs w:val="24"/>
          <w:bdr w:val="none" w:color="auto" w:sz="0" w:space="0"/>
          <w:lang w:val="en-US" w:eastAsia="zh-CN" w:bidi="ar"/>
        </w:rPr>
        <w:t>2020</w:t>
      </w:r>
      <w:r>
        <w:rPr>
          <w:rFonts w:hint="default" w:ascii="color:#333333;" w:hAnsi="color:#333333;" w:eastAsia="color:#333333;" w:cs="color:#333333;"/>
          <w:kern w:val="0"/>
          <w:sz w:val="24"/>
          <w:szCs w:val="24"/>
          <w:bdr w:val="none" w:color="auto" w:sz="0" w:space="0"/>
          <w:lang w:val="en-US" w:eastAsia="zh-CN" w:bidi="ar"/>
        </w:rPr>
        <w:t>年，符合标准的社区养老服务设施覆盖所有城市社区，</w:t>
      </w:r>
      <w:r>
        <w:rPr>
          <w:rFonts w:hint="eastAsia" w:ascii="宋体" w:hAnsi="宋体" w:eastAsia="宋体" w:cs="宋体"/>
          <w:color w:val="333333"/>
          <w:kern w:val="0"/>
          <w:sz w:val="24"/>
          <w:szCs w:val="24"/>
          <w:bdr w:val="none" w:color="auto" w:sz="0" w:space="0"/>
          <w:lang w:val="en-US" w:eastAsia="zh-CN" w:bidi="ar"/>
        </w:rPr>
        <w:t>90%</w:t>
      </w:r>
      <w:r>
        <w:rPr>
          <w:rFonts w:hint="default" w:ascii="color:#333333;" w:hAnsi="color:#333333;" w:eastAsia="color:#333333;" w:cs="color:#333333;"/>
          <w:kern w:val="0"/>
          <w:sz w:val="24"/>
          <w:szCs w:val="24"/>
          <w:bdr w:val="none" w:color="auto" w:sz="0" w:space="0"/>
          <w:lang w:val="en-US" w:eastAsia="zh-CN" w:bidi="ar"/>
        </w:rPr>
        <w:t>以上的乡镇和</w:t>
      </w:r>
      <w:r>
        <w:rPr>
          <w:rFonts w:hint="eastAsia" w:ascii="宋体" w:hAnsi="宋体" w:eastAsia="宋体" w:cs="宋体"/>
          <w:color w:val="333333"/>
          <w:kern w:val="0"/>
          <w:sz w:val="24"/>
          <w:szCs w:val="24"/>
          <w:bdr w:val="none" w:color="auto" w:sz="0" w:space="0"/>
          <w:lang w:val="en-US" w:eastAsia="zh-CN" w:bidi="ar"/>
        </w:rPr>
        <w:t>80%</w:t>
      </w:r>
      <w:r>
        <w:rPr>
          <w:rFonts w:hint="default" w:ascii="color:#333333;" w:hAnsi="color:#333333;" w:eastAsia="color:#333333;" w:cs="color:#333333;"/>
          <w:kern w:val="0"/>
          <w:sz w:val="24"/>
          <w:szCs w:val="24"/>
          <w:bdr w:val="none" w:color="auto" w:sz="0" w:space="0"/>
          <w:lang w:val="en-US" w:eastAsia="zh-CN" w:bidi="ar"/>
        </w:rPr>
        <w:t>以上的农村社区建立包括养老服务在内的社区综合服务设施和站点。加强社区养老服务设施与社区综合服务设施的整合利用。支持在社区养老服务设施配备康复护理设施设备和器材。鼓励有条件的地方通过委托管理等方式，将社区养老服务设施无偿或低偿交由专业化的居家社区养老服务项目团队运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asciiTheme="minorHAnsi" w:hAnsiTheme="minorHAnsi" w:eastAsiaTheme="minorEastAsia" w:cstheme="minorBidi"/>
          <w:kern w:val="0"/>
          <w:sz w:val="24"/>
          <w:szCs w:val="24"/>
          <w:bdr w:val="none" w:color="auto" w:sz="0" w:space="0"/>
          <w:lang w:val="en-US" w:eastAsia="zh-CN" w:bidi="ar"/>
        </w:rPr>
        <w:t> </w:t>
      </w:r>
    </w:p>
    <w:tbl>
      <w:tblPr>
        <w:tblW w:w="8306" w:type="dxa"/>
        <w:jc w:val="center"/>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jc w:val="center"/>
        </w:trPr>
        <w:tc>
          <w:tcPr>
            <w:tcW w:w="830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pPr>
            <w:r>
              <w:rPr>
                <w:rFonts w:hint="default" w:ascii="color:#333333;" w:hAnsi="color:#333333;" w:eastAsia="color:#333333;" w:cs="color:#333333;"/>
                <w:color w:val="333333"/>
                <w:kern w:val="0"/>
                <w:sz w:val="24"/>
                <w:szCs w:val="24"/>
                <w:bdr w:val="none" w:color="auto" w:sz="0" w:space="0"/>
                <w:lang w:val="en-US" w:eastAsia="zh-CN" w:bidi="ar"/>
              </w:rPr>
              <w:t>专栏</w:t>
            </w:r>
            <w:r>
              <w:rPr>
                <w:rFonts w:hint="eastAsia" w:ascii="宋体" w:hAnsi="宋体" w:eastAsia="宋体" w:cs="宋体"/>
                <w:color w:val="333333"/>
                <w:kern w:val="0"/>
                <w:sz w:val="24"/>
                <w:szCs w:val="24"/>
                <w:bdr w:val="none" w:color="auto" w:sz="0" w:space="0"/>
                <w:lang w:val="en-US" w:eastAsia="zh-CN" w:bidi="ar"/>
              </w:rPr>
              <w:t>5</w:t>
            </w:r>
            <w:r>
              <w:rPr>
                <w:rFonts w:hint="default" w:ascii="color:#333333;" w:hAnsi="color:#333333;" w:eastAsia="color:#333333;" w:cs="color:#333333;"/>
                <w:color w:val="333333"/>
                <w:kern w:val="0"/>
                <w:sz w:val="24"/>
                <w:szCs w:val="24"/>
                <w:bdr w:val="none" w:color="auto" w:sz="0" w:space="0"/>
                <w:lang w:val="en-US" w:eastAsia="zh-CN" w:bidi="ar"/>
              </w:rPr>
              <w:t>　居家社区养老信息服务工程</w:t>
            </w:r>
          </w:p>
        </w:tc>
      </w:tr>
      <w:tr>
        <w:tblPrEx>
          <w:shd w:val="clear"/>
          <w:tblLayout w:type="fixed"/>
          <w:tblCellMar>
            <w:top w:w="0" w:type="dxa"/>
            <w:left w:w="0" w:type="dxa"/>
            <w:bottom w:w="0" w:type="dxa"/>
            <w:right w:w="0" w:type="dxa"/>
          </w:tblCellMar>
        </w:tblPrEx>
        <w:trPr>
          <w:jc w:val="center"/>
        </w:trPr>
        <w:tc>
          <w:tcPr>
            <w:tcW w:w="8306"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left"/>
            </w:pPr>
            <w:r>
              <w:rPr>
                <w:rFonts w:hint="default" w:ascii="color:#333333;" w:hAnsi="color:#333333;" w:eastAsia="color:#333333;" w:cs="color:#333333;"/>
                <w:color w:val="333333"/>
                <w:kern w:val="0"/>
                <w:sz w:val="24"/>
                <w:szCs w:val="24"/>
                <w:bdr w:val="none" w:color="auto" w:sz="0" w:space="0"/>
                <w:lang w:val="en-US" w:eastAsia="zh-CN" w:bidi="ar"/>
              </w:rPr>
              <w:t>统筹整合利用和依托现有城乡社区公共服务综合信息平台，以失能、独居、空巢老年人为重点，整合建立居家社区养老服务信息平台、呼叫服务系统和应急救援服务机制，方便养老服务机构和组织向居家老年人提供助餐、助洁、助行、助浴、助医、日间照料等服务。鼓励社会资本建立覆盖本区域的养老服务信息化平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left"/>
            </w:pPr>
            <w:r>
              <w:rPr>
                <w:rFonts w:hint="default" w:ascii="color:#333333;" w:hAnsi="color:#333333;" w:eastAsia="color:#333333;" w:cs="color:#333333;"/>
                <w:color w:val="333333"/>
                <w:kern w:val="0"/>
                <w:sz w:val="24"/>
                <w:szCs w:val="24"/>
                <w:bdr w:val="none" w:color="auto" w:sz="0" w:space="0"/>
                <w:lang w:val="en-US" w:eastAsia="zh-CN" w:bidi="ar"/>
              </w:rPr>
              <w:t>实施“互联网</w:t>
            </w:r>
            <w:r>
              <w:rPr>
                <w:rFonts w:hint="eastAsia" w:ascii="宋体" w:hAnsi="宋体" w:eastAsia="宋体" w:cs="宋体"/>
                <w:color w:val="333333"/>
                <w:kern w:val="0"/>
                <w:sz w:val="24"/>
                <w:szCs w:val="24"/>
                <w:bdr w:val="none" w:color="auto" w:sz="0" w:space="0"/>
                <w:lang w:val="en-US" w:eastAsia="zh-CN" w:bidi="ar"/>
              </w:rPr>
              <w:t>+</w:t>
            </w:r>
            <w:r>
              <w:rPr>
                <w:rFonts w:hint="default" w:ascii="color:#333333;" w:hAnsi="color:#333333;" w:eastAsia="color:#333333;" w:cs="color:#333333;"/>
                <w:color w:val="333333"/>
                <w:kern w:val="0"/>
                <w:sz w:val="24"/>
                <w:szCs w:val="24"/>
                <w:bdr w:val="none" w:color="auto" w:sz="0" w:space="0"/>
                <w:lang w:val="en-US" w:eastAsia="zh-CN" w:bidi="ar"/>
              </w:rPr>
              <w:t>”养老工程。支持社区、养老服务机构、社会组织和企业利用物联网、移动互联网和云计算、大数据等信息技术，开发应用智能终端和居家社区养老服务智慧平台、信息系统、</w:t>
            </w:r>
            <w:r>
              <w:rPr>
                <w:rFonts w:hint="eastAsia" w:ascii="宋体" w:hAnsi="宋体" w:eastAsia="宋体" w:cs="宋体"/>
                <w:color w:val="333333"/>
                <w:kern w:val="0"/>
                <w:sz w:val="24"/>
                <w:szCs w:val="24"/>
                <w:bdr w:val="none" w:color="auto" w:sz="0" w:space="0"/>
                <w:lang w:val="en-US" w:eastAsia="zh-CN" w:bidi="ar"/>
              </w:rPr>
              <w:t>APP</w:t>
            </w:r>
            <w:r>
              <w:rPr>
                <w:rFonts w:hint="default" w:ascii="color:#333333;" w:hAnsi="color:#333333;" w:eastAsia="color:#333333;" w:cs="color:#333333;"/>
                <w:color w:val="333333"/>
                <w:kern w:val="0"/>
                <w:sz w:val="24"/>
                <w:szCs w:val="24"/>
                <w:bdr w:val="none" w:color="auto" w:sz="0" w:space="0"/>
                <w:lang w:val="en-US" w:eastAsia="zh-CN" w:bidi="ar"/>
              </w:rPr>
              <w:t>应用、微信公众号等，重点拓展远程提醒和控制、自动报警和处置、动态监测和记录等功能，为居家老年人提供紧急呼叫、家政服务、生活照料、康复护理、健康咨询、精神慰藉、文体娱乐、物品代购、服务缴费、申请政府补贴和法律咨询等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left"/>
            </w:pPr>
            <w:r>
              <w:rPr>
                <w:rFonts w:hint="default" w:ascii="color:#333333;" w:hAnsi="color:#333333;" w:eastAsia="color:#333333;" w:cs="color:#333333;"/>
                <w:color w:val="333333"/>
                <w:kern w:val="0"/>
                <w:sz w:val="24"/>
                <w:szCs w:val="24"/>
                <w:bdr w:val="none" w:color="auto" w:sz="0" w:space="0"/>
                <w:lang w:val="en-US" w:eastAsia="zh-CN" w:bidi="ar"/>
              </w:rPr>
              <w:t>鼓励运用可穿戴设备等移动信息采集终端，实现老年健康状态信息的动态监测，将老年慢性病健康管理和社区居家养老服务相结合，依托社区养老服务机构和基层医疗卫生服务机构，建设智慧健康养老平台。“十三五”期间在</w:t>
            </w:r>
            <w:r>
              <w:rPr>
                <w:rFonts w:hint="eastAsia" w:ascii="宋体" w:hAnsi="宋体" w:eastAsia="宋体" w:cs="宋体"/>
                <w:color w:val="333333"/>
                <w:kern w:val="0"/>
                <w:sz w:val="24"/>
                <w:szCs w:val="24"/>
                <w:bdr w:val="none" w:color="auto" w:sz="0" w:space="0"/>
                <w:lang w:val="en-US" w:eastAsia="zh-CN" w:bidi="ar"/>
              </w:rPr>
              <w:t>3</w:t>
            </w:r>
            <w:r>
              <w:rPr>
                <w:rFonts w:hint="default" w:ascii="color:#333333;" w:hAnsi="color:#333333;" w:eastAsia="color:#333333;" w:cs="color:#333333;"/>
                <w:color w:val="333333"/>
                <w:kern w:val="0"/>
                <w:sz w:val="24"/>
                <w:szCs w:val="24"/>
                <w:bdr w:val="none" w:color="auto" w:sz="0" w:space="0"/>
                <w:lang w:val="en-US" w:eastAsia="zh-CN" w:bidi="ar"/>
              </w:rPr>
              <w:t>个城市开展智慧健康养老服务试点工作。</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pPr>
      <w:r>
        <w:rPr>
          <w:rFonts w:hint="default" w:ascii="color:#333333;" w:hAnsi="color:#333333;" w:eastAsia="color:#333333;" w:cs="color:#333333;"/>
          <w:kern w:val="0"/>
          <w:sz w:val="24"/>
          <w:szCs w:val="24"/>
          <w:bdr w:val="none" w:color="auto" w:sz="0" w:space="0"/>
          <w:lang w:val="en-US" w:eastAsia="zh-CN" w:bidi="ar"/>
        </w:rPr>
        <w:t>第三节</w:t>
      </w:r>
      <w:r>
        <w:rPr>
          <w:rFonts w:hint="eastAsia" w:ascii="宋体" w:hAnsi="宋体" w:eastAsia="宋体" w:cs="宋体"/>
          <w:color w:val="333333"/>
          <w:kern w:val="0"/>
          <w:sz w:val="24"/>
          <w:szCs w:val="24"/>
          <w:bdr w:val="none" w:color="auto" w:sz="0" w:space="0"/>
          <w:lang w:val="en-US" w:eastAsia="zh-CN" w:bidi="ar"/>
        </w:rPr>
        <w:t>  </w:t>
      </w:r>
      <w:r>
        <w:rPr>
          <w:rFonts w:hint="default" w:ascii="color:#333333;" w:hAnsi="color:#333333;" w:eastAsia="color:#333333;" w:cs="color:#333333;"/>
          <w:kern w:val="0"/>
          <w:sz w:val="24"/>
          <w:szCs w:val="24"/>
          <w:bdr w:val="none" w:color="auto" w:sz="0" w:space="0"/>
          <w:lang w:val="en-US" w:eastAsia="zh-CN" w:bidi="ar"/>
        </w:rPr>
        <w:t>推动机构养老服务提质增效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default" w:ascii="color:#333333;" w:hAnsi="color:#333333;" w:eastAsia="color:#333333;" w:cs="color:#333333;"/>
          <w:kern w:val="0"/>
          <w:sz w:val="24"/>
          <w:szCs w:val="24"/>
          <w:bdr w:val="none" w:color="auto" w:sz="0" w:space="0"/>
          <w:lang w:val="en-US" w:eastAsia="zh-CN" w:bidi="ar"/>
        </w:rPr>
        <w:t>加快公办养老机构改革。强化公办保障性养老机构托底保障功能，实行老年人入住评估制度，优先保障特困供养人员集中供养需求和其他经济困难的失能、失智、失独、空巢、留守、高龄等老年人的服务需求。有条件的公办养老机构应设置专护区，优先保障政府供养对象中的失能失智老年人、计划生育特殊困难家庭老年人和老年残疾人集中养护需求。加强残疾人抚养服务机构建设，保障经济困难的重度残疾老年人的托养需求。加快推进具备向社会提供养老服务条件的公办养老机构转制为企业或开展公建民营。制定社会力量运营公办养老机构管理办法，积极推进公建民营。允许公办养老机构以设施设备等作价入股，与社会力量共同建设和运营养老机构。探索以县区为单位的公办养老机构资产统一管理和运营模式。政府投资建设和购置的养老设施、新建居住（小）区按规定配建并移交给民政部门的养老设施、党政机关和国有企事业单位培训疗养机构等改建的养老设施，均可实施公建民营。到</w:t>
      </w:r>
      <w:r>
        <w:rPr>
          <w:rFonts w:hint="eastAsia" w:ascii="宋体" w:hAnsi="宋体" w:eastAsia="宋体" w:cs="宋体"/>
          <w:color w:val="333333"/>
          <w:kern w:val="0"/>
          <w:sz w:val="24"/>
          <w:szCs w:val="24"/>
          <w:bdr w:val="none" w:color="auto" w:sz="0" w:space="0"/>
          <w:lang w:val="en-US" w:eastAsia="zh-CN" w:bidi="ar"/>
        </w:rPr>
        <w:t>2017</w:t>
      </w:r>
      <w:r>
        <w:rPr>
          <w:rFonts w:hint="default" w:ascii="color:#333333;" w:hAnsi="color:#333333;" w:eastAsia="color:#333333;" w:cs="color:#333333;"/>
          <w:kern w:val="0"/>
          <w:sz w:val="24"/>
          <w:szCs w:val="24"/>
          <w:bdr w:val="none" w:color="auto" w:sz="0" w:space="0"/>
          <w:lang w:val="en-US" w:eastAsia="zh-CN" w:bidi="ar"/>
        </w:rPr>
        <w:t>年底，县级以上公办养老机构全部实现“管办分离”。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default" w:ascii="color:#333333;" w:hAnsi="color:#333333;" w:eastAsia="color:#333333;" w:cs="color:#333333;"/>
          <w:kern w:val="0"/>
          <w:sz w:val="24"/>
          <w:szCs w:val="24"/>
          <w:bdr w:val="none" w:color="auto" w:sz="0" w:space="0"/>
          <w:lang w:val="en-US" w:eastAsia="zh-CN" w:bidi="ar"/>
        </w:rPr>
        <w:t>支持社会力量兴办养老机构。探索养老机构“一照多址”“先照后证”经营，取消注册资金限制，简化设立许可手续，放宽社区社会组织备案条件。落实全面放开养老服务市场、提升养老服务质量的有关政策要求，加快推进养老服务业“放管服”改革。对民间资本和社会力量申请兴办养老机构进一步放宽准入条件，加强开办支持和服务指导。鼓励采取特许经营、政府购买服务、政府和社会资本合作等方式支持社会力量举办养老机构。允许养老机构依法依规设立多个服务网点，实现规模化、连锁化、品牌化运营。鼓励整合改造企业厂房、商业设施、存量商品房等用于养老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default" w:ascii="color:#333333;" w:hAnsi="color:#333333;" w:eastAsia="color:#333333;" w:cs="color:#333333;"/>
          <w:kern w:val="0"/>
          <w:sz w:val="24"/>
          <w:szCs w:val="24"/>
          <w:bdr w:val="none" w:color="auto" w:sz="0" w:space="0"/>
          <w:lang w:val="en-US" w:eastAsia="zh-CN" w:bidi="ar"/>
        </w:rPr>
        <w:t>提升养老机构服务质量。开展养老院服务质量建设专项行动。加快制定养老机构管理运营相关规范、标准，推动科技助老新技术、新方法、新产品在养老机构的应用，提高养老机构运营管理和为老服务水平，为入住老年人提供符合标准的多样化、个性化的养老服务，逐步兼具为居家养老提供服务支持的能力。继续规范属地管理、民政牵头、部门协管的养老机构设立许可和监督管理机制，推进不符合条件养老机构限期整改、关停工作，保障入住老年人权益。建立健全养老机构分类管理和养老服务评估制度，引入第三方评估，全面公开第三方评估相关信息。全面施行养老机构综合责任险制度，提升养老机构抗风险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pPr>
      <w:r>
        <w:rPr>
          <w:rFonts w:hint="default" w:ascii="color:#333333;" w:hAnsi="color:#333333;" w:eastAsia="color:#333333;" w:cs="color:#333333;"/>
          <w:kern w:val="0"/>
          <w:sz w:val="24"/>
          <w:szCs w:val="24"/>
          <w:bdr w:val="none" w:color="auto" w:sz="0" w:space="0"/>
          <w:lang w:val="en-US" w:eastAsia="zh-CN" w:bidi="ar"/>
        </w:rPr>
        <w:t>第四节</w:t>
      </w:r>
      <w:r>
        <w:rPr>
          <w:rFonts w:hint="eastAsia" w:ascii="宋体" w:hAnsi="宋体" w:eastAsia="宋体" w:cs="宋体"/>
          <w:color w:val="333333"/>
          <w:kern w:val="0"/>
          <w:sz w:val="24"/>
          <w:szCs w:val="24"/>
          <w:bdr w:val="none" w:color="auto" w:sz="0" w:space="0"/>
          <w:lang w:val="en-US" w:eastAsia="zh-CN" w:bidi="ar"/>
        </w:rPr>
        <w:t>  </w:t>
      </w:r>
      <w:r>
        <w:rPr>
          <w:rFonts w:hint="default" w:ascii="color:#333333;" w:hAnsi="color:#333333;" w:eastAsia="color:#333333;" w:cs="color:#333333;"/>
          <w:kern w:val="0"/>
          <w:sz w:val="24"/>
          <w:szCs w:val="24"/>
          <w:bdr w:val="none" w:color="auto" w:sz="0" w:space="0"/>
          <w:lang w:val="en-US" w:eastAsia="zh-CN" w:bidi="ar"/>
        </w:rPr>
        <w:t>加强农村养老服务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default" w:ascii="color:#333333;" w:hAnsi="color:#333333;" w:eastAsia="color:#333333;" w:cs="color:#333333;"/>
          <w:kern w:val="0"/>
          <w:sz w:val="24"/>
          <w:szCs w:val="24"/>
          <w:bdr w:val="none" w:color="auto" w:sz="0" w:space="0"/>
          <w:lang w:val="en-US" w:eastAsia="zh-CN" w:bidi="ar"/>
        </w:rPr>
        <w:t>推动农村特困人员供养服务机构服务设施和服务质量达标，在保障农村特困人员集中供养需求的前提下，积极推进农村敬老院转型成为区域性养老服务中心，为当地高龄、空巢、留守、失能失智老年人提供集中养护服务。着力提升农村敬老院入住率，到</w:t>
      </w:r>
      <w:r>
        <w:rPr>
          <w:rFonts w:hint="eastAsia" w:ascii="宋体" w:hAnsi="宋体" w:eastAsia="宋体" w:cs="宋体"/>
          <w:color w:val="333333"/>
          <w:kern w:val="0"/>
          <w:sz w:val="24"/>
          <w:szCs w:val="24"/>
          <w:bdr w:val="none" w:color="auto" w:sz="0" w:space="0"/>
          <w:lang w:val="en-US" w:eastAsia="zh-CN" w:bidi="ar"/>
        </w:rPr>
        <w:t>2020</w:t>
      </w:r>
      <w:r>
        <w:rPr>
          <w:rFonts w:hint="default" w:ascii="color:#333333;" w:hAnsi="color:#333333;" w:eastAsia="color:#333333;" w:cs="color:#333333;"/>
          <w:kern w:val="0"/>
          <w:sz w:val="24"/>
          <w:szCs w:val="24"/>
          <w:bdr w:val="none" w:color="auto" w:sz="0" w:space="0"/>
          <w:lang w:val="en-US" w:eastAsia="zh-CN" w:bidi="ar"/>
        </w:rPr>
        <w:t>年底，农村敬老院床位利用率达到</w:t>
      </w:r>
      <w:r>
        <w:rPr>
          <w:rFonts w:hint="eastAsia" w:ascii="宋体" w:hAnsi="宋体" w:eastAsia="宋体" w:cs="宋体"/>
          <w:color w:val="333333"/>
          <w:kern w:val="0"/>
          <w:sz w:val="24"/>
          <w:szCs w:val="24"/>
          <w:bdr w:val="none" w:color="auto" w:sz="0" w:space="0"/>
          <w:lang w:val="en-US" w:eastAsia="zh-CN" w:bidi="ar"/>
        </w:rPr>
        <w:t>80%</w:t>
      </w:r>
      <w:r>
        <w:rPr>
          <w:rFonts w:hint="default" w:ascii="color:#333333;" w:hAnsi="color:#333333;" w:eastAsia="color:#333333;" w:cs="color:#333333;"/>
          <w:kern w:val="0"/>
          <w:sz w:val="24"/>
          <w:szCs w:val="24"/>
          <w:bdr w:val="none" w:color="auto" w:sz="0" w:space="0"/>
          <w:lang w:val="en-US" w:eastAsia="zh-CN" w:bidi="ar"/>
        </w:rPr>
        <w:t>。支持人口聚集地、中心村建设养老服务设施，支持行政村、较大自然村建设互助性养老服务设施，鼓励整合利用农村社区服务中心、党建活动室、医疗卫生机构、文化教育单位等公共资源，增加为老服务功能，为留守、孤寡、独居、贫困、残疾等老年人提供多种形式的关爱服务。通过各类志愿服务组织和社区邻里互助组、亲友相助、志愿服务等模式和举办农村幸福院、养老大院等方式，大力发展农村互助养老服务。发挥农村基层党组织、村委会、老年协会等作用，积极培育为老服务社会组织。鼓励务工人员回乡创业，参与、培育和发展养老服务，对符合条件的养老服务从业人员，实行就业创业扶持。依托“三农”信息服务站、农村电商平台等，拓展农村养老服务，培育农村养老服务新的增长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2"/>
        <w:jc w:val="center"/>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2"/>
        <w:jc w:val="center"/>
      </w:pPr>
      <w:r>
        <w:rPr>
          <w:rFonts w:hint="default" w:ascii="color:#333333;" w:hAnsi="color:#333333;" w:eastAsia="color:#333333;" w:cs="color:#333333;"/>
          <w:b/>
          <w:kern w:val="0"/>
          <w:sz w:val="24"/>
          <w:szCs w:val="24"/>
          <w:bdr w:val="none" w:color="auto" w:sz="0" w:space="0"/>
          <w:lang w:val="en-US" w:eastAsia="zh-CN" w:bidi="ar"/>
        </w:rPr>
        <w:t>第五章</w:t>
      </w:r>
      <w:r>
        <w:rPr>
          <w:rFonts w:hint="eastAsia" w:ascii="宋体" w:hAnsi="宋体" w:eastAsia="宋体" w:cs="宋体"/>
          <w:b/>
          <w:color w:val="333333"/>
          <w:kern w:val="0"/>
          <w:sz w:val="24"/>
          <w:szCs w:val="24"/>
          <w:bdr w:val="none" w:color="auto" w:sz="0" w:space="0"/>
          <w:lang w:val="en-US" w:eastAsia="zh-CN" w:bidi="ar"/>
        </w:rPr>
        <w:t> </w:t>
      </w:r>
      <w:r>
        <w:rPr>
          <w:rFonts w:hint="default" w:ascii="color:#333333;" w:hAnsi="color:#333333;" w:eastAsia="color:#333333;" w:cs="color:#333333;"/>
          <w:b/>
          <w:kern w:val="0"/>
          <w:sz w:val="24"/>
          <w:szCs w:val="24"/>
          <w:bdr w:val="none" w:color="auto" w:sz="0" w:space="0"/>
          <w:lang w:val="en-US" w:eastAsia="zh-CN" w:bidi="ar"/>
        </w:rPr>
        <w:t> 健全健康支持体系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pPr>
      <w:r>
        <w:rPr>
          <w:rFonts w:hint="default" w:ascii="color:#333333;" w:hAnsi="color:#333333;" w:eastAsia="color:#333333;" w:cs="color:#333333;"/>
          <w:kern w:val="0"/>
          <w:sz w:val="24"/>
          <w:szCs w:val="24"/>
          <w:bdr w:val="none" w:color="auto" w:sz="0" w:space="0"/>
          <w:lang w:val="en-US" w:eastAsia="zh-CN" w:bidi="ar"/>
        </w:rPr>
        <w:t>第一节</w:t>
      </w:r>
      <w:r>
        <w:rPr>
          <w:rFonts w:hint="eastAsia" w:ascii="宋体" w:hAnsi="宋体" w:eastAsia="宋体" w:cs="宋体"/>
          <w:color w:val="333333"/>
          <w:kern w:val="0"/>
          <w:sz w:val="24"/>
          <w:szCs w:val="24"/>
          <w:bdr w:val="none" w:color="auto" w:sz="0" w:space="0"/>
          <w:lang w:val="en-US" w:eastAsia="zh-CN" w:bidi="ar"/>
        </w:rPr>
        <w:t>  </w:t>
      </w:r>
      <w:r>
        <w:rPr>
          <w:rFonts w:hint="default" w:ascii="color:#333333;" w:hAnsi="color:#333333;" w:eastAsia="color:#333333;" w:cs="color:#333333;"/>
          <w:kern w:val="0"/>
          <w:sz w:val="24"/>
          <w:szCs w:val="24"/>
          <w:bdr w:val="none" w:color="auto" w:sz="0" w:space="0"/>
          <w:lang w:val="en-US" w:eastAsia="zh-CN" w:bidi="ar"/>
        </w:rPr>
        <w:t>推进医养结合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default" w:ascii="color:#333333;" w:hAnsi="color:#333333;" w:eastAsia="color:#333333;" w:cs="color:#333333;"/>
          <w:kern w:val="0"/>
          <w:sz w:val="24"/>
          <w:szCs w:val="24"/>
          <w:bdr w:val="none" w:color="auto" w:sz="0" w:space="0"/>
          <w:lang w:val="en-US" w:eastAsia="zh-CN" w:bidi="ar"/>
        </w:rPr>
        <w:t>完善医养结合机制。统筹落实好医养结合优惠扶持政策，打通医疗机构与养老机构融合通道，建立养老机构内设医疗机构与合作医院间双向转诊绿色通道。鼓励养老机构申办医疗机构执业许可证、医疗机构申办养老机构设立许可证，积极构建养老、医护、康复、临终关怀服务相互衔接的服务模式，实现老年人卫生健康服务在养老机构和医疗卫生机构之间的便捷对接。通过建设医疗养老联合体等多种方式，整合医疗、康复、养老和护理资源，为老年人提供治疗期住院、康复期护理、稳定期生活照料以及临终关怀一体化服务。大力发展中医药健康养老服务相结合的系列服务产品，鼓励新建以中医药健康养老为特色的护理院、疗养院。鼓励社会力量举办医养结合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default" w:ascii="color:#333333;" w:hAnsi="color:#333333;" w:eastAsia="color:#333333;" w:cs="color:#333333;"/>
          <w:kern w:val="0"/>
          <w:sz w:val="24"/>
          <w:szCs w:val="24"/>
          <w:bdr w:val="none" w:color="auto" w:sz="0" w:space="0"/>
          <w:lang w:val="en-US" w:eastAsia="zh-CN" w:bidi="ar"/>
        </w:rPr>
        <w:t>支持养老机构开展医疗服务。支持养老机构按规定开办老年病医院、康复医院、护理院、中医医院、临终关怀机构等，也可内设医务室、护理站等。养老机构内设医疗机构的，应及时纳入当地医疗机构规划布局。鼓励执业医师到养老机构设置的医疗机构多点执业，支持有相关专业特长的医师及专业人员在养老机构规范开展疾病预防、营养、中医调理养生等非诊疗行为的健康服务。养老机构设置的医疗机构，符合条件的应按规定纳入基本医疗保险定点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asciiTheme="minorHAnsi" w:hAnsiTheme="minorHAnsi" w:eastAsiaTheme="minorEastAsia" w:cstheme="minorBidi"/>
          <w:kern w:val="0"/>
          <w:sz w:val="24"/>
          <w:szCs w:val="24"/>
          <w:bdr w:val="none" w:color="auto" w:sz="0" w:space="0"/>
          <w:lang w:val="en-US" w:eastAsia="zh-CN" w:bidi="ar"/>
        </w:rPr>
        <w:t> </w:t>
      </w:r>
    </w:p>
    <w:tbl>
      <w:tblPr>
        <w:tblW w:w="8306" w:type="dxa"/>
        <w:jc w:val="center"/>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jc w:val="center"/>
        </w:trPr>
        <w:tc>
          <w:tcPr>
            <w:tcW w:w="830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pPr>
            <w:r>
              <w:rPr>
                <w:rFonts w:hint="default" w:ascii="color:#333333;" w:hAnsi="color:#333333;" w:eastAsia="color:#333333;" w:cs="color:#333333;"/>
                <w:color w:val="333333"/>
                <w:kern w:val="0"/>
                <w:sz w:val="24"/>
                <w:szCs w:val="24"/>
                <w:bdr w:val="none" w:color="auto" w:sz="0" w:space="0"/>
                <w:lang w:val="en-US" w:eastAsia="zh-CN" w:bidi="ar"/>
              </w:rPr>
              <w:t>专栏</w:t>
            </w:r>
            <w:r>
              <w:rPr>
                <w:rFonts w:hint="eastAsia" w:ascii="宋体" w:hAnsi="宋体" w:eastAsia="宋体" w:cs="宋体"/>
                <w:color w:val="333333"/>
                <w:kern w:val="0"/>
                <w:sz w:val="24"/>
                <w:szCs w:val="24"/>
                <w:bdr w:val="none" w:color="auto" w:sz="0" w:space="0"/>
                <w:lang w:val="en-US" w:eastAsia="zh-CN" w:bidi="ar"/>
              </w:rPr>
              <w:t>6  </w:t>
            </w:r>
            <w:r>
              <w:rPr>
                <w:rFonts w:hint="default" w:ascii="color:#333333;" w:hAnsi="color:#333333;" w:eastAsia="color:#333333;" w:cs="color:#333333;"/>
                <w:color w:val="333333"/>
                <w:kern w:val="0"/>
                <w:sz w:val="24"/>
                <w:szCs w:val="24"/>
                <w:bdr w:val="none" w:color="auto" w:sz="0" w:space="0"/>
                <w:lang w:val="en-US" w:eastAsia="zh-CN" w:bidi="ar"/>
              </w:rPr>
              <w:t>医养结合示范工程</w:t>
            </w:r>
          </w:p>
        </w:tc>
      </w:tr>
      <w:tr>
        <w:tblPrEx>
          <w:shd w:val="clear"/>
          <w:tblLayout w:type="fixed"/>
        </w:tblPrEx>
        <w:trPr>
          <w:jc w:val="center"/>
        </w:trPr>
        <w:tc>
          <w:tcPr>
            <w:tcW w:w="830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left"/>
            </w:pPr>
            <w:r>
              <w:rPr>
                <w:rFonts w:hint="default" w:ascii="color:#333333;" w:hAnsi="color:#333333;" w:eastAsia="color:#333333;" w:cs="color:#333333;"/>
                <w:color w:val="333333"/>
                <w:kern w:val="0"/>
                <w:sz w:val="24"/>
                <w:szCs w:val="24"/>
                <w:bdr w:val="none" w:color="auto" w:sz="0" w:space="0"/>
                <w:lang w:val="en-US" w:eastAsia="zh-CN" w:bidi="ar"/>
              </w:rPr>
              <w:t>建立家庭医生制度，推行家庭医生签约服务，规范为居家老年人提供的医疗和护理服务项目，对符合规定的医疗费用纳入医保支付范围。到</w:t>
            </w:r>
            <w:r>
              <w:rPr>
                <w:rFonts w:hint="eastAsia" w:ascii="宋体" w:hAnsi="宋体" w:eastAsia="宋体" w:cs="宋体"/>
                <w:color w:val="333333"/>
                <w:kern w:val="0"/>
                <w:sz w:val="24"/>
                <w:szCs w:val="24"/>
                <w:bdr w:val="none" w:color="auto" w:sz="0" w:space="0"/>
                <w:lang w:val="en-US" w:eastAsia="zh-CN" w:bidi="ar"/>
              </w:rPr>
              <w:t>2020</w:t>
            </w:r>
            <w:r>
              <w:rPr>
                <w:rFonts w:hint="default" w:ascii="color:#333333;" w:hAnsi="color:#333333;" w:eastAsia="color:#333333;" w:cs="color:#333333;"/>
                <w:color w:val="333333"/>
                <w:kern w:val="0"/>
                <w:sz w:val="24"/>
                <w:szCs w:val="24"/>
                <w:bdr w:val="none" w:color="auto" w:sz="0" w:space="0"/>
                <w:lang w:val="en-US" w:eastAsia="zh-CN" w:bidi="ar"/>
              </w:rPr>
              <w:t>年，力争实现家庭医生签约服务制度全覆盖。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left"/>
            </w:pPr>
            <w:r>
              <w:rPr>
                <w:rFonts w:hint="default" w:ascii="color:#333333;" w:hAnsi="color:#333333;" w:eastAsia="color:#333333;" w:cs="color:#333333;"/>
                <w:color w:val="333333"/>
                <w:kern w:val="0"/>
                <w:sz w:val="24"/>
                <w:szCs w:val="24"/>
                <w:bdr w:val="none" w:color="auto" w:sz="0" w:space="0"/>
                <w:lang w:val="en-US" w:eastAsia="zh-CN" w:bidi="ar"/>
              </w:rPr>
              <w:t>推动社区卫生服务中心开展家庭医生、上门巡诊、社区和居家护理等服务，到</w:t>
            </w:r>
            <w:r>
              <w:rPr>
                <w:rFonts w:hint="eastAsia" w:ascii="宋体" w:hAnsi="宋体" w:eastAsia="宋体" w:cs="宋体"/>
                <w:color w:val="333333"/>
                <w:kern w:val="0"/>
                <w:sz w:val="24"/>
                <w:szCs w:val="24"/>
                <w:bdr w:val="none" w:color="auto" w:sz="0" w:space="0"/>
                <w:lang w:val="en-US" w:eastAsia="zh-CN" w:bidi="ar"/>
              </w:rPr>
              <w:t>2020</w:t>
            </w:r>
            <w:r>
              <w:rPr>
                <w:rFonts w:hint="default" w:ascii="color:#333333;" w:hAnsi="color:#333333;" w:eastAsia="color:#333333;" w:cs="color:#333333;"/>
                <w:color w:val="333333"/>
                <w:kern w:val="0"/>
                <w:sz w:val="24"/>
                <w:szCs w:val="24"/>
                <w:bdr w:val="none" w:color="auto" w:sz="0" w:space="0"/>
                <w:lang w:val="en-US" w:eastAsia="zh-CN" w:bidi="ar"/>
              </w:rPr>
              <w:t>年，</w:t>
            </w:r>
            <w:r>
              <w:rPr>
                <w:rFonts w:hint="eastAsia" w:ascii="宋体" w:hAnsi="宋体" w:eastAsia="宋体" w:cs="宋体"/>
                <w:color w:val="333333"/>
                <w:kern w:val="0"/>
                <w:sz w:val="24"/>
                <w:szCs w:val="24"/>
                <w:bdr w:val="none" w:color="auto" w:sz="0" w:space="0"/>
                <w:lang w:val="en-US" w:eastAsia="zh-CN" w:bidi="ar"/>
              </w:rPr>
              <w:t>65</w:t>
            </w:r>
            <w:r>
              <w:rPr>
                <w:rFonts w:hint="default" w:ascii="color:#333333;" w:hAnsi="color:#333333;" w:eastAsia="color:#333333;" w:cs="color:#333333;"/>
                <w:color w:val="333333"/>
                <w:kern w:val="0"/>
                <w:sz w:val="24"/>
                <w:szCs w:val="24"/>
                <w:bdr w:val="none" w:color="auto" w:sz="0" w:space="0"/>
                <w:lang w:val="en-US" w:eastAsia="zh-CN" w:bidi="ar"/>
              </w:rPr>
              <w:t>周岁以上老年人健康管理率力争达到</w:t>
            </w:r>
            <w:r>
              <w:rPr>
                <w:rFonts w:hint="eastAsia" w:ascii="宋体" w:hAnsi="宋体" w:eastAsia="宋体" w:cs="宋体"/>
                <w:color w:val="333333"/>
                <w:kern w:val="0"/>
                <w:sz w:val="24"/>
                <w:szCs w:val="24"/>
                <w:bdr w:val="none" w:color="auto" w:sz="0" w:space="0"/>
                <w:lang w:val="en-US" w:eastAsia="zh-CN" w:bidi="ar"/>
              </w:rPr>
              <w:t>80%</w:t>
            </w:r>
            <w:r>
              <w:rPr>
                <w:rFonts w:hint="default" w:ascii="color:#333333;" w:hAnsi="color:#333333;" w:eastAsia="color:#333333;" w:cs="color:#333333;"/>
                <w:color w:val="333333"/>
                <w:kern w:val="0"/>
                <w:sz w:val="24"/>
                <w:szCs w:val="24"/>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left"/>
            </w:pPr>
            <w:r>
              <w:rPr>
                <w:rFonts w:hint="default" w:ascii="color:#333333;" w:hAnsi="color:#333333;" w:eastAsia="color:#333333;" w:cs="color:#333333;"/>
                <w:color w:val="333333"/>
                <w:kern w:val="0"/>
                <w:sz w:val="24"/>
                <w:szCs w:val="24"/>
                <w:bdr w:val="none" w:color="auto" w:sz="0" w:space="0"/>
                <w:lang w:val="en-US" w:eastAsia="zh-CN" w:bidi="ar"/>
              </w:rPr>
              <w:t>支持有条件的养老机构增加养护型、医护型养老床位，到</w:t>
            </w:r>
            <w:r>
              <w:rPr>
                <w:rFonts w:hint="eastAsia" w:ascii="宋体" w:hAnsi="宋体" w:eastAsia="宋体" w:cs="宋体"/>
                <w:color w:val="333333"/>
                <w:kern w:val="0"/>
                <w:sz w:val="24"/>
                <w:szCs w:val="24"/>
                <w:bdr w:val="none" w:color="auto" w:sz="0" w:space="0"/>
                <w:lang w:val="en-US" w:eastAsia="zh-CN" w:bidi="ar"/>
              </w:rPr>
              <w:t>2020</w:t>
            </w:r>
            <w:r>
              <w:rPr>
                <w:rFonts w:hint="default" w:ascii="color:#333333;" w:hAnsi="color:#333333;" w:eastAsia="color:#333333;" w:cs="color:#333333;"/>
                <w:color w:val="333333"/>
                <w:kern w:val="0"/>
                <w:sz w:val="24"/>
                <w:szCs w:val="24"/>
                <w:bdr w:val="none" w:color="auto" w:sz="0" w:space="0"/>
                <w:lang w:val="en-US" w:eastAsia="zh-CN" w:bidi="ar"/>
              </w:rPr>
              <w:t>年护理型床位占养老床位的比例不低于</w:t>
            </w:r>
            <w:r>
              <w:rPr>
                <w:rFonts w:hint="eastAsia" w:ascii="宋体" w:hAnsi="宋体" w:eastAsia="宋体" w:cs="宋体"/>
                <w:color w:val="333333"/>
                <w:kern w:val="0"/>
                <w:sz w:val="24"/>
                <w:szCs w:val="24"/>
                <w:bdr w:val="none" w:color="auto" w:sz="0" w:space="0"/>
                <w:lang w:val="en-US" w:eastAsia="zh-CN" w:bidi="ar"/>
              </w:rPr>
              <w:t>30%</w:t>
            </w:r>
            <w:r>
              <w:rPr>
                <w:rFonts w:hint="default" w:ascii="color:#333333;" w:hAnsi="color:#333333;" w:eastAsia="color:#333333;" w:cs="color:#333333;"/>
                <w:color w:val="333333"/>
                <w:kern w:val="0"/>
                <w:sz w:val="24"/>
                <w:szCs w:val="24"/>
                <w:bdr w:val="none" w:color="auto" w:sz="0" w:space="0"/>
                <w:lang w:val="en-US" w:eastAsia="zh-CN" w:bidi="ar"/>
              </w:rPr>
              <w:t>。</w:t>
            </w:r>
            <w:r>
              <w:rPr>
                <w:rFonts w:hint="eastAsia" w:ascii="宋体" w:hAnsi="宋体" w:eastAsia="宋体" w:cs="宋体"/>
                <w:color w:val="333333"/>
                <w:kern w:val="0"/>
                <w:sz w:val="24"/>
                <w:szCs w:val="24"/>
                <w:bdr w:val="none" w:color="auto" w:sz="0" w:space="0"/>
                <w:lang w:val="en-US" w:eastAsia="zh-CN" w:bidi="ar"/>
              </w:rPr>
              <w:t>150</w:t>
            </w:r>
            <w:r>
              <w:rPr>
                <w:rFonts w:hint="default" w:ascii="color:#333333;" w:hAnsi="color:#333333;" w:eastAsia="color:#333333;" w:cs="color:#333333;"/>
                <w:color w:val="333333"/>
                <w:kern w:val="0"/>
                <w:sz w:val="24"/>
                <w:szCs w:val="24"/>
                <w:bdr w:val="none" w:color="auto" w:sz="0" w:space="0"/>
                <w:lang w:val="en-US" w:eastAsia="zh-CN" w:bidi="ar"/>
              </w:rPr>
              <w:t>张床位以上的养老机构必须内设医务室或护理站，</w:t>
            </w:r>
            <w:r>
              <w:rPr>
                <w:rFonts w:hint="eastAsia" w:ascii="宋体" w:hAnsi="宋体" w:eastAsia="宋体" w:cs="宋体"/>
                <w:color w:val="333333"/>
                <w:kern w:val="0"/>
                <w:sz w:val="24"/>
                <w:szCs w:val="24"/>
                <w:bdr w:val="none" w:color="auto" w:sz="0" w:space="0"/>
                <w:lang w:val="en-US" w:eastAsia="zh-CN" w:bidi="ar"/>
              </w:rPr>
              <w:t>150</w:t>
            </w:r>
            <w:r>
              <w:rPr>
                <w:rFonts w:hint="default" w:ascii="color:#333333;" w:hAnsi="color:#333333;" w:eastAsia="color:#333333;" w:cs="color:#333333;"/>
                <w:color w:val="333333"/>
                <w:kern w:val="0"/>
                <w:sz w:val="24"/>
                <w:szCs w:val="24"/>
                <w:bdr w:val="none" w:color="auto" w:sz="0" w:space="0"/>
                <w:lang w:val="en-US" w:eastAsia="zh-CN" w:bidi="ar"/>
              </w:rPr>
              <w:t>张床位以下的养老机构鼓励设医务室或护理站。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left"/>
            </w:pPr>
            <w:r>
              <w:rPr>
                <w:rFonts w:hint="default" w:ascii="color:#333333;" w:hAnsi="color:#333333;" w:eastAsia="color:#333333;" w:cs="color:#333333;"/>
                <w:color w:val="333333"/>
                <w:kern w:val="0"/>
                <w:sz w:val="24"/>
                <w:szCs w:val="24"/>
                <w:bdr w:val="none" w:color="auto" w:sz="0" w:space="0"/>
                <w:lang w:val="en-US" w:eastAsia="zh-CN" w:bidi="ar"/>
              </w:rPr>
              <w:t>深入开展医养结合发展示范区（机构）建设试点。“十三五”期间，全省建立</w:t>
            </w:r>
            <w:r>
              <w:rPr>
                <w:rFonts w:hint="eastAsia" w:ascii="宋体" w:hAnsi="宋体" w:eastAsia="宋体" w:cs="宋体"/>
                <w:color w:val="333333"/>
                <w:kern w:val="0"/>
                <w:sz w:val="24"/>
                <w:szCs w:val="24"/>
                <w:bdr w:val="none" w:color="auto" w:sz="0" w:space="0"/>
                <w:lang w:val="en-US" w:eastAsia="zh-CN" w:bidi="ar"/>
              </w:rPr>
              <w:t>6</w:t>
            </w:r>
            <w:r>
              <w:rPr>
                <w:rFonts w:hint="default" w:ascii="color:#333333;" w:hAnsi="color:#333333;" w:eastAsia="color:#333333;" w:cs="color:#333333;"/>
                <w:color w:val="333333"/>
                <w:kern w:val="0"/>
                <w:sz w:val="24"/>
                <w:szCs w:val="24"/>
                <w:bdr w:val="none" w:color="auto" w:sz="0" w:space="0"/>
                <w:lang w:val="en-US" w:eastAsia="zh-CN" w:bidi="ar"/>
              </w:rPr>
              <w:t>个省级医养结合综合示范区、</w:t>
            </w:r>
            <w:r>
              <w:rPr>
                <w:rFonts w:hint="eastAsia" w:ascii="宋体" w:hAnsi="宋体" w:eastAsia="宋体" w:cs="宋体"/>
                <w:color w:val="333333"/>
                <w:kern w:val="0"/>
                <w:sz w:val="24"/>
                <w:szCs w:val="24"/>
                <w:bdr w:val="none" w:color="auto" w:sz="0" w:space="0"/>
                <w:lang w:val="en-US" w:eastAsia="zh-CN" w:bidi="ar"/>
              </w:rPr>
              <w:t>20</w:t>
            </w:r>
            <w:r>
              <w:rPr>
                <w:rFonts w:hint="default" w:ascii="color:#333333;" w:hAnsi="color:#333333;" w:eastAsia="color:#333333;" w:cs="color:#333333;"/>
                <w:color w:val="333333"/>
                <w:kern w:val="0"/>
                <w:sz w:val="24"/>
                <w:szCs w:val="24"/>
                <w:bdr w:val="none" w:color="auto" w:sz="0" w:space="0"/>
                <w:lang w:val="en-US" w:eastAsia="zh-CN" w:bidi="ar"/>
              </w:rPr>
              <w:t>个医养结合示范基地（园区）、</w:t>
            </w:r>
            <w:r>
              <w:rPr>
                <w:rFonts w:hint="eastAsia" w:ascii="宋体" w:hAnsi="宋体" w:eastAsia="宋体" w:cs="宋体"/>
                <w:color w:val="333333"/>
                <w:kern w:val="0"/>
                <w:sz w:val="24"/>
                <w:szCs w:val="24"/>
                <w:bdr w:val="none" w:color="auto" w:sz="0" w:space="0"/>
                <w:lang w:val="en-US" w:eastAsia="zh-CN" w:bidi="ar"/>
              </w:rPr>
              <w:t>100</w:t>
            </w:r>
            <w:r>
              <w:rPr>
                <w:rFonts w:hint="default" w:ascii="color:#333333;" w:hAnsi="color:#333333;" w:eastAsia="color:#333333;" w:cs="color:#333333;"/>
                <w:color w:val="333333"/>
                <w:kern w:val="0"/>
                <w:sz w:val="24"/>
                <w:szCs w:val="24"/>
                <w:bdr w:val="none" w:color="auto" w:sz="0" w:space="0"/>
                <w:lang w:val="en-US" w:eastAsia="zh-CN" w:bidi="ar"/>
              </w:rPr>
              <w:t>个医养结合示范项目、</w:t>
            </w:r>
            <w:r>
              <w:rPr>
                <w:rFonts w:hint="eastAsia" w:ascii="宋体" w:hAnsi="宋体" w:eastAsia="宋体" w:cs="宋体"/>
                <w:color w:val="333333"/>
                <w:kern w:val="0"/>
                <w:sz w:val="24"/>
                <w:szCs w:val="24"/>
                <w:bdr w:val="none" w:color="auto" w:sz="0" w:space="0"/>
                <w:lang w:val="en-US" w:eastAsia="zh-CN" w:bidi="ar"/>
              </w:rPr>
              <w:t>300</w:t>
            </w:r>
            <w:r>
              <w:rPr>
                <w:rFonts w:hint="default" w:ascii="color:#333333;" w:hAnsi="color:#333333;" w:eastAsia="color:#333333;" w:cs="color:#333333;"/>
                <w:color w:val="333333"/>
                <w:kern w:val="0"/>
                <w:sz w:val="24"/>
                <w:szCs w:val="24"/>
                <w:bdr w:val="none" w:color="auto" w:sz="0" w:space="0"/>
                <w:lang w:val="en-US" w:eastAsia="zh-CN" w:bidi="ar"/>
              </w:rPr>
              <w:t>个社区医养结合示范中心。</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pPr>
      <w:r>
        <w:rPr>
          <w:rFonts w:hint="default" w:ascii="color:#333333;" w:hAnsi="color:#333333;" w:eastAsia="color:#333333;" w:cs="color:#333333;"/>
          <w:kern w:val="0"/>
          <w:sz w:val="24"/>
          <w:szCs w:val="24"/>
          <w:bdr w:val="none" w:color="auto" w:sz="0" w:space="0"/>
          <w:lang w:val="en-US" w:eastAsia="zh-CN" w:bidi="ar"/>
        </w:rPr>
        <w:t>第二节</w:t>
      </w:r>
      <w:r>
        <w:rPr>
          <w:rFonts w:hint="eastAsia" w:ascii="宋体" w:hAnsi="宋体" w:eastAsia="宋体" w:cs="宋体"/>
          <w:color w:val="333333"/>
          <w:kern w:val="0"/>
          <w:sz w:val="24"/>
          <w:szCs w:val="24"/>
          <w:bdr w:val="none" w:color="auto" w:sz="0" w:space="0"/>
          <w:lang w:val="en-US" w:eastAsia="zh-CN" w:bidi="ar"/>
        </w:rPr>
        <w:t>  </w:t>
      </w:r>
      <w:r>
        <w:rPr>
          <w:rFonts w:hint="default" w:ascii="color:#333333;" w:hAnsi="color:#333333;" w:eastAsia="color:#333333;" w:cs="color:#333333;"/>
          <w:kern w:val="0"/>
          <w:sz w:val="24"/>
          <w:szCs w:val="24"/>
          <w:bdr w:val="none" w:color="auto" w:sz="0" w:space="0"/>
          <w:lang w:val="en-US" w:eastAsia="zh-CN" w:bidi="ar"/>
        </w:rPr>
        <w:t>加强老年人健康促进和疾病预防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default" w:ascii="color:#333333;" w:hAnsi="color:#333333;" w:eastAsia="color:#333333;" w:cs="color:#333333;"/>
          <w:kern w:val="0"/>
          <w:sz w:val="24"/>
          <w:szCs w:val="24"/>
          <w:bdr w:val="none" w:color="auto" w:sz="0" w:space="0"/>
          <w:lang w:val="en-US" w:eastAsia="zh-CN" w:bidi="ar"/>
        </w:rPr>
        <w:t>开展健康老龄化理念和医疗保健知识宣传普及进社区、进家庭活动，增强老年人的自我保健意识和能力。加强对老年人健康生活方式和健身活动的指导，提升老年人健康素养水平至</w:t>
      </w:r>
      <w:r>
        <w:rPr>
          <w:rFonts w:hint="eastAsia" w:ascii="宋体" w:hAnsi="宋体" w:eastAsia="宋体" w:cs="宋体"/>
          <w:color w:val="333333"/>
          <w:kern w:val="0"/>
          <w:sz w:val="24"/>
          <w:szCs w:val="24"/>
          <w:bdr w:val="none" w:color="auto" w:sz="0" w:space="0"/>
          <w:lang w:val="en-US" w:eastAsia="zh-CN" w:bidi="ar"/>
        </w:rPr>
        <w:t>10%</w:t>
      </w:r>
      <w:r>
        <w:rPr>
          <w:rFonts w:hint="default" w:ascii="color:#333333;" w:hAnsi="color:#333333;" w:eastAsia="color:#333333;" w:cs="color:#333333;"/>
          <w:kern w:val="0"/>
          <w:sz w:val="24"/>
          <w:szCs w:val="24"/>
          <w:bdr w:val="none" w:color="auto" w:sz="0" w:space="0"/>
          <w:lang w:val="en-US" w:eastAsia="zh-CN" w:bidi="ar"/>
        </w:rPr>
        <w:t>。对辖区内</w:t>
      </w:r>
      <w:r>
        <w:rPr>
          <w:rFonts w:hint="eastAsia" w:ascii="宋体" w:hAnsi="宋体" w:eastAsia="宋体" w:cs="宋体"/>
          <w:color w:val="333333"/>
          <w:kern w:val="0"/>
          <w:sz w:val="24"/>
          <w:szCs w:val="24"/>
          <w:bdr w:val="none" w:color="auto" w:sz="0" w:space="0"/>
          <w:lang w:val="en-US" w:eastAsia="zh-CN" w:bidi="ar"/>
        </w:rPr>
        <w:t>65</w:t>
      </w:r>
      <w:r>
        <w:rPr>
          <w:rFonts w:hint="default" w:ascii="color:#333333;" w:hAnsi="color:#333333;" w:eastAsia="color:#333333;" w:cs="color:#333333;"/>
          <w:kern w:val="0"/>
          <w:sz w:val="24"/>
          <w:szCs w:val="24"/>
          <w:bdr w:val="none" w:color="auto" w:sz="0" w:space="0"/>
          <w:lang w:val="en-US" w:eastAsia="zh-CN" w:bidi="ar"/>
        </w:rPr>
        <w:t>周岁以上老年人和</w:t>
      </w:r>
      <w:r>
        <w:rPr>
          <w:rFonts w:hint="eastAsia" w:ascii="宋体" w:hAnsi="宋体" w:eastAsia="宋体" w:cs="宋体"/>
          <w:color w:val="333333"/>
          <w:kern w:val="0"/>
          <w:sz w:val="24"/>
          <w:szCs w:val="24"/>
          <w:bdr w:val="none" w:color="auto" w:sz="0" w:space="0"/>
          <w:lang w:val="en-US" w:eastAsia="zh-CN" w:bidi="ar"/>
        </w:rPr>
        <w:t>60</w:t>
      </w:r>
      <w:r>
        <w:rPr>
          <w:rFonts w:hint="default" w:ascii="color:#333333;" w:hAnsi="color:#333333;" w:eastAsia="color:#333333;" w:cs="color:#333333;"/>
          <w:kern w:val="0"/>
          <w:sz w:val="24"/>
          <w:szCs w:val="24"/>
          <w:bdr w:val="none" w:color="auto" w:sz="0" w:space="0"/>
          <w:lang w:val="en-US" w:eastAsia="zh-CN" w:bidi="ar"/>
        </w:rPr>
        <w:t>周岁以上的计划生育特殊困难家庭老年人，每年免费提供一次生活方式健康状况评估、体格检查、健康指导等健康管理服务。建立健全健康管理服务制度，加强老年人健康档案信息动态管理。开展对老年人心脑血管疾病、糖尿病、恶性肿瘤、呼吸系统疾病、口腔疾病等常见病、慢性病的健康指导和综合干预。指导老年人合理用药，减少不合理用药危害。探索老年综合症和共病的发病过程与规律，研发综合防治适宜技术、指南和规范，促进老年病早发现、早诊断、早治疗。面向老年人开展中医药健康管理服务项目。启动老年人心理健康预防和干预计划，为贫困、空巢、失能、失智、计划生育特殊困难家庭、高龄独居老年人提供日常关怀和心理支持服务。加强对老年严重精神障碍患者的社区管理和康复治疗，鼓励老年人积极参与社会活动，促进老年人心理健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pPr>
      <w:r>
        <w:rPr>
          <w:rFonts w:hint="default" w:ascii="color:#333333;" w:hAnsi="color:#333333;" w:eastAsia="color:#333333;" w:cs="color:#333333;"/>
          <w:kern w:val="0"/>
          <w:sz w:val="24"/>
          <w:szCs w:val="24"/>
          <w:bdr w:val="none" w:color="auto" w:sz="0" w:space="0"/>
          <w:lang w:val="en-US" w:eastAsia="zh-CN" w:bidi="ar"/>
        </w:rPr>
        <w:t>第三节</w:t>
      </w:r>
      <w:r>
        <w:rPr>
          <w:rFonts w:hint="eastAsia" w:ascii="宋体" w:hAnsi="宋体" w:eastAsia="宋体" w:cs="宋体"/>
          <w:color w:val="333333"/>
          <w:kern w:val="0"/>
          <w:sz w:val="24"/>
          <w:szCs w:val="24"/>
          <w:bdr w:val="none" w:color="auto" w:sz="0" w:space="0"/>
          <w:lang w:val="en-US" w:eastAsia="zh-CN" w:bidi="ar"/>
        </w:rPr>
        <w:t>  </w:t>
      </w:r>
      <w:r>
        <w:rPr>
          <w:rFonts w:hint="default" w:ascii="color:#333333;" w:hAnsi="color:#333333;" w:eastAsia="color:#333333;" w:cs="color:#333333;"/>
          <w:kern w:val="0"/>
          <w:sz w:val="24"/>
          <w:szCs w:val="24"/>
          <w:bdr w:val="none" w:color="auto" w:sz="0" w:space="0"/>
          <w:lang w:val="en-US" w:eastAsia="zh-CN" w:bidi="ar"/>
        </w:rPr>
        <w:t>发展老年医疗与康复护理服务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default" w:ascii="color:#333333;" w:hAnsi="color:#333333;" w:eastAsia="color:#333333;" w:cs="color:#333333;"/>
          <w:kern w:val="0"/>
          <w:sz w:val="24"/>
          <w:szCs w:val="24"/>
          <w:bdr w:val="none" w:color="auto" w:sz="0" w:space="0"/>
          <w:lang w:val="en-US" w:eastAsia="zh-CN" w:bidi="ar"/>
        </w:rPr>
        <w:t>加强老年康复医院、护理院、临终关怀机构和综合医院老年病科建设。有条件的二级以上综合医院要开设老年病科、老年病门诊，增加老年病床数量，到</w:t>
      </w:r>
      <w:r>
        <w:rPr>
          <w:rFonts w:hint="eastAsia" w:ascii="宋体" w:hAnsi="宋体" w:eastAsia="宋体" w:cs="宋体"/>
          <w:color w:val="333333"/>
          <w:kern w:val="0"/>
          <w:sz w:val="24"/>
          <w:szCs w:val="24"/>
          <w:bdr w:val="none" w:color="auto" w:sz="0" w:space="0"/>
          <w:lang w:val="en-US" w:eastAsia="zh-CN" w:bidi="ar"/>
        </w:rPr>
        <w:t>2020</w:t>
      </w:r>
      <w:r>
        <w:rPr>
          <w:rFonts w:hint="default" w:ascii="color:#333333;" w:hAnsi="color:#333333;" w:eastAsia="color:#333333;" w:cs="color:#333333;"/>
          <w:kern w:val="0"/>
          <w:sz w:val="24"/>
          <w:szCs w:val="24"/>
          <w:bdr w:val="none" w:color="auto" w:sz="0" w:space="0"/>
          <w:lang w:val="en-US" w:eastAsia="zh-CN" w:bidi="ar"/>
        </w:rPr>
        <w:t>年，</w:t>
      </w:r>
      <w:r>
        <w:rPr>
          <w:rFonts w:hint="eastAsia" w:ascii="宋体" w:hAnsi="宋体" w:eastAsia="宋体" w:cs="宋体"/>
          <w:color w:val="333333"/>
          <w:kern w:val="0"/>
          <w:sz w:val="24"/>
          <w:szCs w:val="24"/>
          <w:bdr w:val="none" w:color="auto" w:sz="0" w:space="0"/>
          <w:lang w:val="en-US" w:eastAsia="zh-CN" w:bidi="ar"/>
        </w:rPr>
        <w:t>35%</w:t>
      </w:r>
      <w:r>
        <w:rPr>
          <w:rFonts w:hint="default" w:ascii="color:#333333;" w:hAnsi="color:#333333;" w:eastAsia="color:#333333;" w:cs="color:#333333;"/>
          <w:kern w:val="0"/>
          <w:sz w:val="24"/>
          <w:szCs w:val="24"/>
          <w:bdr w:val="none" w:color="auto" w:sz="0" w:space="0"/>
          <w:lang w:val="en-US" w:eastAsia="zh-CN" w:bidi="ar"/>
        </w:rPr>
        <w:t>以上的二级以上综合医院设立老年病科。支持部分一、二级医院和专科医院转型为老年人护理院。提高基层医疗卫生机构康复护理床位占比，引导乡镇卫生院、敬老院设立养护型老年医疗护理服务特色科室，开设护理型床位或病区。落实老年人医疗服务优待政策，为老年人特别是高龄、重病、失能、残疾老年人挂号（退换号）、就诊、转诊、综合诊疗提供优先服务。鼓励各级医疗卫生机构和医务工作志愿者为老年人开展义诊。加强康复医师、康复治疗师、康复辅助器具配置人才培养。落实好将偏瘫肢体综合训练、认知知觉功能康复训练、日常生活能力评定等医疗康复项目纳入基本医疗保障范围的政策，为失能、部分失能老年人治疗性康复提供相应保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pPr>
      <w:r>
        <w:rPr>
          <w:rFonts w:hint="default" w:ascii="color:#333333;" w:hAnsi="color:#333333;" w:eastAsia="color:#333333;" w:cs="color:#333333;"/>
          <w:kern w:val="0"/>
          <w:sz w:val="24"/>
          <w:szCs w:val="24"/>
          <w:bdr w:val="none" w:color="auto" w:sz="0" w:space="0"/>
          <w:lang w:val="en-US" w:eastAsia="zh-CN" w:bidi="ar"/>
        </w:rPr>
        <w:t>第四节</w:t>
      </w:r>
      <w:r>
        <w:rPr>
          <w:rFonts w:hint="eastAsia" w:ascii="宋体" w:hAnsi="宋体" w:eastAsia="宋体" w:cs="宋体"/>
          <w:color w:val="333333"/>
          <w:kern w:val="0"/>
          <w:sz w:val="24"/>
          <w:szCs w:val="24"/>
          <w:bdr w:val="none" w:color="auto" w:sz="0" w:space="0"/>
          <w:lang w:val="en-US" w:eastAsia="zh-CN" w:bidi="ar"/>
        </w:rPr>
        <w:t>  </w:t>
      </w:r>
      <w:r>
        <w:rPr>
          <w:rFonts w:hint="default" w:ascii="color:#333333;" w:hAnsi="color:#333333;" w:eastAsia="color:#333333;" w:cs="color:#333333;"/>
          <w:kern w:val="0"/>
          <w:sz w:val="24"/>
          <w:szCs w:val="24"/>
          <w:bdr w:val="none" w:color="auto" w:sz="0" w:space="0"/>
          <w:lang w:val="en-US" w:eastAsia="zh-CN" w:bidi="ar"/>
        </w:rPr>
        <w:t>加强老年体育健身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default" w:ascii="color:#333333;" w:hAnsi="color:#333333;" w:eastAsia="color:#333333;" w:cs="color:#333333;"/>
          <w:kern w:val="0"/>
          <w:sz w:val="24"/>
          <w:szCs w:val="24"/>
          <w:bdr w:val="none" w:color="auto" w:sz="0" w:space="0"/>
          <w:lang w:val="en-US" w:eastAsia="zh-CN" w:bidi="ar"/>
        </w:rPr>
        <w:t>贯彻落实安徽省全民健身计划，广泛开展老年人康复健身体育活动。统筹规划建设公益性老年健身体育设施，依托公园、广场、绿地等公共设施及旧厂房、仓库、老旧商业设施等城市空置场所，建设适合老年人体育健身的场地设施。支持乡镇（街道）综合文化站建设体育健身场地，配备适合老年人的设施和器材。支持公共和民办体育设施向老年人免费或优惠开放。加强老年人体育健身方法和项目研究，分层分类引导老年运动项目发展，为老年人健身提供科学指导。继续举办全省老年人体育运动会。鼓励发展老年人体育组织，到</w:t>
      </w:r>
      <w:r>
        <w:rPr>
          <w:rFonts w:hint="eastAsia" w:ascii="宋体" w:hAnsi="宋体" w:eastAsia="宋体" w:cs="宋体"/>
          <w:color w:val="333333"/>
          <w:kern w:val="0"/>
          <w:sz w:val="24"/>
          <w:szCs w:val="24"/>
          <w:bdr w:val="none" w:color="auto" w:sz="0" w:space="0"/>
          <w:lang w:val="en-US" w:eastAsia="zh-CN" w:bidi="ar"/>
        </w:rPr>
        <w:t>2020</w:t>
      </w:r>
      <w:r>
        <w:rPr>
          <w:rFonts w:hint="default" w:ascii="color:#333333;" w:hAnsi="color:#333333;" w:eastAsia="color:#333333;" w:cs="color:#333333;"/>
          <w:kern w:val="0"/>
          <w:sz w:val="24"/>
          <w:szCs w:val="24"/>
          <w:bdr w:val="none" w:color="auto" w:sz="0" w:space="0"/>
          <w:lang w:val="en-US" w:eastAsia="zh-CN" w:bidi="ar"/>
        </w:rPr>
        <w:t>年，</w:t>
      </w:r>
      <w:r>
        <w:rPr>
          <w:rFonts w:hint="eastAsia" w:ascii="宋体" w:hAnsi="宋体" w:eastAsia="宋体" w:cs="宋体"/>
          <w:color w:val="333333"/>
          <w:kern w:val="0"/>
          <w:sz w:val="24"/>
          <w:szCs w:val="24"/>
          <w:bdr w:val="none" w:color="auto" w:sz="0" w:space="0"/>
          <w:lang w:val="en-US" w:eastAsia="zh-CN" w:bidi="ar"/>
        </w:rPr>
        <w:t>90%</w:t>
      </w:r>
      <w:r>
        <w:rPr>
          <w:rFonts w:hint="default" w:ascii="color:#333333;" w:hAnsi="color:#333333;" w:eastAsia="color:#333333;" w:cs="color:#333333;"/>
          <w:kern w:val="0"/>
          <w:sz w:val="24"/>
          <w:szCs w:val="24"/>
          <w:bdr w:val="none" w:color="auto" w:sz="0" w:space="0"/>
          <w:lang w:val="en-US" w:eastAsia="zh-CN" w:bidi="ar"/>
        </w:rPr>
        <w:t>的街道和乡镇建立老年人基层体育组织，城乡社区普遍建立老年人健身活动站点和体育团队。将留成的体育彩票公益金安排适当资金用于开展老年人体育活动。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2"/>
        <w:jc w:val="center"/>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2"/>
        <w:jc w:val="center"/>
      </w:pPr>
      <w:r>
        <w:rPr>
          <w:rFonts w:hint="default" w:ascii="color:#333333;" w:hAnsi="color:#333333;" w:eastAsia="color:#333333;" w:cs="color:#333333;"/>
          <w:b/>
          <w:kern w:val="0"/>
          <w:sz w:val="24"/>
          <w:szCs w:val="24"/>
          <w:bdr w:val="none" w:color="auto" w:sz="0" w:space="0"/>
          <w:lang w:val="en-US" w:eastAsia="zh-CN" w:bidi="ar"/>
        </w:rPr>
        <w:t>第六章</w:t>
      </w:r>
      <w:r>
        <w:rPr>
          <w:rFonts w:hint="eastAsia" w:ascii="宋体" w:hAnsi="宋体" w:eastAsia="宋体" w:cs="宋体"/>
          <w:b/>
          <w:color w:val="333333"/>
          <w:kern w:val="0"/>
          <w:sz w:val="24"/>
          <w:szCs w:val="24"/>
          <w:bdr w:val="none" w:color="auto" w:sz="0" w:space="0"/>
          <w:lang w:val="en-US" w:eastAsia="zh-CN" w:bidi="ar"/>
        </w:rPr>
        <w:t> </w:t>
      </w:r>
      <w:r>
        <w:rPr>
          <w:rFonts w:hint="default" w:ascii="color:#333333;" w:hAnsi="color:#333333;" w:eastAsia="color:#333333;" w:cs="color:#333333;"/>
          <w:b/>
          <w:kern w:val="0"/>
          <w:sz w:val="24"/>
          <w:szCs w:val="24"/>
          <w:bdr w:val="none" w:color="auto" w:sz="0" w:space="0"/>
          <w:lang w:val="en-US" w:eastAsia="zh-CN" w:bidi="ar"/>
        </w:rPr>
        <w:t> 繁荣规范老年消费市场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pPr>
      <w:r>
        <w:rPr>
          <w:rFonts w:hint="default" w:ascii="color:#333333;" w:hAnsi="color:#333333;" w:eastAsia="color:#333333;" w:cs="color:#333333;"/>
          <w:kern w:val="0"/>
          <w:sz w:val="24"/>
          <w:szCs w:val="24"/>
          <w:bdr w:val="none" w:color="auto" w:sz="0" w:space="0"/>
          <w:lang w:val="en-US" w:eastAsia="zh-CN" w:bidi="ar"/>
        </w:rPr>
        <w:t>第一节</w:t>
      </w:r>
      <w:r>
        <w:rPr>
          <w:rFonts w:hint="eastAsia" w:ascii="宋体" w:hAnsi="宋体" w:eastAsia="宋体" w:cs="宋体"/>
          <w:color w:val="333333"/>
          <w:kern w:val="0"/>
          <w:sz w:val="24"/>
          <w:szCs w:val="24"/>
          <w:bdr w:val="none" w:color="auto" w:sz="0" w:space="0"/>
          <w:lang w:val="en-US" w:eastAsia="zh-CN" w:bidi="ar"/>
        </w:rPr>
        <w:t>  </w:t>
      </w:r>
      <w:r>
        <w:rPr>
          <w:rFonts w:hint="default" w:ascii="color:#333333;" w:hAnsi="color:#333333;" w:eastAsia="color:#333333;" w:cs="color:#333333;"/>
          <w:kern w:val="0"/>
          <w:sz w:val="24"/>
          <w:szCs w:val="24"/>
          <w:bdr w:val="none" w:color="auto" w:sz="0" w:space="0"/>
          <w:lang w:val="en-US" w:eastAsia="zh-CN" w:bidi="ar"/>
        </w:rPr>
        <w:t>丰富养老服务业态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default" w:ascii="color:#333333;" w:hAnsi="color:#333333;" w:eastAsia="color:#333333;" w:cs="color:#333333;"/>
          <w:kern w:val="0"/>
          <w:sz w:val="24"/>
          <w:szCs w:val="24"/>
          <w:bdr w:val="none" w:color="auto" w:sz="0" w:space="0"/>
          <w:lang w:val="en-US" w:eastAsia="zh-CN" w:bidi="ar"/>
        </w:rPr>
        <w:t>培育老龄产业新的增长点，完善相关规划和扶持政策。实施品牌战略，重点开发为老服务产品和培育养老服务品牌，大力发展养老服务中小企业。发展养老科技、产品研发与装备产业，创新养老健康服务内容，打造各具特色、管理规范、服务标准的养老服务龙头企业。促进养老企业连锁化、集团化发展，形成一批产业链长、覆盖领域广、经济社会效益显著的产业集群和集聚区。鼓励结合中医药、旅游、文化、养生等特色优势，打造健康养老服务产业集群。促进养老服务与旅游、文化等产业融合发展。积极探索候鸟式养老、旅游养老、文化养老等融合发展新模式，开发适老旅游和健康产品。在有条件的地区兴建一批集生活居住、文化娱乐、康复训练、医疗保健等为一体的养老综合体。鼓励金融、地产、互联网等企业进入养老服务产业。积极利用信息技术提升健康养老服务质量和效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eastAsia" w:ascii="宋体" w:hAnsi="宋体" w:eastAsia="宋体" w:cs="宋体"/>
          <w:color w:val="333333"/>
          <w:kern w:val="0"/>
          <w:sz w:val="24"/>
          <w:szCs w:val="24"/>
          <w:bdr w:val="none" w:color="auto" w:sz="0" w:space="0"/>
          <w:lang w:val="en-US" w:eastAsia="zh-CN" w:bidi="ar"/>
        </w:rPr>
        <w:t> </w:t>
      </w:r>
    </w:p>
    <w:tbl>
      <w:tblPr>
        <w:tblW w:w="8306" w:type="dxa"/>
        <w:jc w:val="center"/>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jc w:val="center"/>
        </w:trPr>
        <w:tc>
          <w:tcPr>
            <w:tcW w:w="830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pPr>
            <w:r>
              <w:rPr>
                <w:rFonts w:hint="default" w:ascii="color:#333333;" w:hAnsi="color:#333333;" w:eastAsia="color:#333333;" w:cs="color:#333333;"/>
                <w:color w:val="333333"/>
                <w:kern w:val="0"/>
                <w:sz w:val="24"/>
                <w:szCs w:val="24"/>
                <w:bdr w:val="none" w:color="auto" w:sz="0" w:space="0"/>
                <w:lang w:val="en-US" w:eastAsia="zh-CN" w:bidi="ar"/>
              </w:rPr>
              <w:t>专栏</w:t>
            </w:r>
            <w:r>
              <w:rPr>
                <w:rFonts w:hint="eastAsia" w:ascii="宋体" w:hAnsi="宋体" w:eastAsia="宋体" w:cs="宋体"/>
                <w:color w:val="333333"/>
                <w:kern w:val="0"/>
                <w:sz w:val="24"/>
                <w:szCs w:val="24"/>
                <w:bdr w:val="none" w:color="auto" w:sz="0" w:space="0"/>
                <w:lang w:val="en-US" w:eastAsia="zh-CN" w:bidi="ar"/>
              </w:rPr>
              <w:t>7</w:t>
            </w:r>
            <w:r>
              <w:rPr>
                <w:rFonts w:hint="default" w:ascii="color:#333333;" w:hAnsi="color:#333333;" w:eastAsia="color:#333333;" w:cs="color:#333333;"/>
                <w:color w:val="333333"/>
                <w:kern w:val="0"/>
                <w:sz w:val="24"/>
                <w:szCs w:val="24"/>
                <w:bdr w:val="none" w:color="auto" w:sz="0" w:space="0"/>
                <w:lang w:val="en-US" w:eastAsia="zh-CN" w:bidi="ar"/>
              </w:rPr>
              <w:t>　养老服务品牌和产业集群建设工程</w:t>
            </w:r>
          </w:p>
        </w:tc>
      </w:tr>
      <w:tr>
        <w:tblPrEx>
          <w:shd w:val="clear"/>
          <w:tblLayout w:type="fixed"/>
          <w:tblCellMar>
            <w:top w:w="0" w:type="dxa"/>
            <w:left w:w="0" w:type="dxa"/>
            <w:bottom w:w="0" w:type="dxa"/>
            <w:right w:w="0" w:type="dxa"/>
          </w:tblCellMar>
        </w:tblPrEx>
        <w:trPr>
          <w:jc w:val="center"/>
        </w:trPr>
        <w:tc>
          <w:tcPr>
            <w:tcW w:w="830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left"/>
            </w:pPr>
            <w:r>
              <w:rPr>
                <w:rFonts w:hint="default" w:ascii="color:#333333;" w:hAnsi="color:#333333;" w:eastAsia="color:#333333;" w:cs="color:#333333;"/>
                <w:color w:val="333333"/>
                <w:kern w:val="0"/>
                <w:sz w:val="24"/>
                <w:szCs w:val="24"/>
                <w:bdr w:val="none" w:color="auto" w:sz="0" w:space="0"/>
                <w:lang w:val="en-US" w:eastAsia="zh-CN" w:bidi="ar"/>
              </w:rPr>
              <w:t>重点开发老年人专用智能产品、可穿戴设备、变携式医疗设备、老年人照护康复产品。选择若干地区，建设老年用品产品研发中心、检测中心、养老服务标准制定中心。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left"/>
            </w:pPr>
            <w:r>
              <w:rPr>
                <w:rFonts w:hint="default" w:ascii="color:#333333;" w:hAnsi="color:#333333;" w:eastAsia="color:#333333;" w:cs="color:#333333;"/>
                <w:color w:val="333333"/>
                <w:kern w:val="0"/>
                <w:sz w:val="24"/>
                <w:szCs w:val="24"/>
                <w:bdr w:val="none" w:color="auto" w:sz="0" w:space="0"/>
                <w:lang w:val="en-US" w:eastAsia="zh-CN" w:bidi="ar"/>
              </w:rPr>
              <w:t>依托合芜蚌国家自主创新示范区，建设“合肥—芜湖—蚌埠”基地式、园区式、集聚式养老服务设施示范带，中心带动、辐射全省；加大安庆市、马鞍山市养老服务业综合改革力度，带动沿江地区养老服务产业发展；支持皖东、皖西外向型养老产业发展，打造区域性养老产业集聚区；结合皖南国际文化旅游示范区建设，重点打造养老社区、旅居式养老服务基础设施，发展健康养老产业；支持皖北地区养老基础设施建设，推进城乡统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left"/>
            </w:pPr>
            <w:r>
              <w:rPr>
                <w:rFonts w:hint="default" w:ascii="color:#333333;" w:hAnsi="color:#333333;" w:eastAsia="color:#333333;" w:cs="color:#333333;"/>
                <w:color w:val="333333"/>
                <w:kern w:val="0"/>
                <w:sz w:val="24"/>
                <w:szCs w:val="24"/>
                <w:bdr w:val="none" w:color="auto" w:sz="0" w:space="0"/>
                <w:lang w:val="en-US" w:eastAsia="zh-CN" w:bidi="ar"/>
              </w:rPr>
              <w:t>到</w:t>
            </w:r>
            <w:r>
              <w:rPr>
                <w:rFonts w:hint="eastAsia" w:ascii="宋体" w:hAnsi="宋体" w:eastAsia="宋体" w:cs="宋体"/>
                <w:color w:val="333333"/>
                <w:kern w:val="0"/>
                <w:sz w:val="24"/>
                <w:szCs w:val="24"/>
                <w:bdr w:val="none" w:color="auto" w:sz="0" w:space="0"/>
                <w:lang w:val="en-US" w:eastAsia="zh-CN" w:bidi="ar"/>
              </w:rPr>
              <w:t>2020</w:t>
            </w:r>
            <w:r>
              <w:rPr>
                <w:rFonts w:hint="default" w:ascii="color:#333333;" w:hAnsi="color:#333333;" w:eastAsia="color:#333333;" w:cs="color:#333333;"/>
                <w:color w:val="333333"/>
                <w:kern w:val="0"/>
                <w:sz w:val="24"/>
                <w:szCs w:val="24"/>
                <w:bdr w:val="none" w:color="auto" w:sz="0" w:space="0"/>
                <w:lang w:val="en-US" w:eastAsia="zh-CN" w:bidi="ar"/>
              </w:rPr>
              <w:t>年，全省建成</w:t>
            </w:r>
            <w:r>
              <w:rPr>
                <w:rFonts w:hint="eastAsia" w:ascii="宋体" w:hAnsi="宋体" w:eastAsia="宋体" w:cs="宋体"/>
                <w:color w:val="333333"/>
                <w:kern w:val="0"/>
                <w:sz w:val="24"/>
                <w:szCs w:val="24"/>
                <w:bdr w:val="none" w:color="auto" w:sz="0" w:space="0"/>
                <w:lang w:val="en-US" w:eastAsia="zh-CN" w:bidi="ar"/>
              </w:rPr>
              <w:t>10</w:t>
            </w:r>
            <w:r>
              <w:rPr>
                <w:rFonts w:hint="default" w:ascii="color:#333333;" w:hAnsi="color:#333333;" w:eastAsia="color:#333333;" w:cs="color:#333333;"/>
                <w:color w:val="333333"/>
                <w:kern w:val="0"/>
                <w:sz w:val="24"/>
                <w:szCs w:val="24"/>
                <w:bdr w:val="none" w:color="auto" w:sz="0" w:space="0"/>
                <w:lang w:val="en-US" w:eastAsia="zh-CN" w:bidi="ar"/>
              </w:rPr>
              <w:t>个养老服务业发展园区（基地）、</w:t>
            </w:r>
            <w:r>
              <w:rPr>
                <w:rFonts w:hint="eastAsia" w:ascii="宋体" w:hAnsi="宋体" w:eastAsia="宋体" w:cs="宋体"/>
                <w:color w:val="333333"/>
                <w:kern w:val="0"/>
                <w:sz w:val="24"/>
                <w:szCs w:val="24"/>
                <w:bdr w:val="none" w:color="auto" w:sz="0" w:space="0"/>
                <w:lang w:val="en-US" w:eastAsia="zh-CN" w:bidi="ar"/>
              </w:rPr>
              <w:t>50</w:t>
            </w:r>
            <w:r>
              <w:rPr>
                <w:rFonts w:hint="default" w:ascii="color:#333333;" w:hAnsi="color:#333333;" w:eastAsia="color:#333333;" w:cs="color:#333333;"/>
                <w:color w:val="333333"/>
                <w:kern w:val="0"/>
                <w:sz w:val="24"/>
                <w:szCs w:val="24"/>
                <w:bdr w:val="none" w:color="auto" w:sz="0" w:space="0"/>
                <w:lang w:val="en-US" w:eastAsia="zh-CN" w:bidi="ar"/>
              </w:rPr>
              <w:t>家骨干企业（机构）。培育市场竞争力强、企业成长性好的养老企业上市。</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pPr>
      <w:r>
        <w:rPr>
          <w:rFonts w:hint="default" w:ascii="color:#333333;" w:hAnsi="color:#333333;" w:eastAsia="color:#333333;" w:cs="color:#333333;"/>
          <w:kern w:val="0"/>
          <w:sz w:val="24"/>
          <w:szCs w:val="24"/>
          <w:bdr w:val="none" w:color="auto" w:sz="0" w:space="0"/>
          <w:lang w:val="en-US" w:eastAsia="zh-CN" w:bidi="ar"/>
        </w:rPr>
        <w:t>第二节</w:t>
      </w:r>
      <w:r>
        <w:rPr>
          <w:rFonts w:hint="eastAsia" w:ascii="宋体" w:hAnsi="宋体" w:eastAsia="宋体" w:cs="宋体"/>
          <w:color w:val="333333"/>
          <w:kern w:val="0"/>
          <w:sz w:val="24"/>
          <w:szCs w:val="24"/>
          <w:bdr w:val="none" w:color="auto" w:sz="0" w:space="0"/>
          <w:lang w:val="en-US" w:eastAsia="zh-CN" w:bidi="ar"/>
        </w:rPr>
        <w:t>  </w:t>
      </w:r>
      <w:r>
        <w:rPr>
          <w:rFonts w:hint="default" w:ascii="color:#333333;" w:hAnsi="color:#333333;" w:eastAsia="color:#333333;" w:cs="color:#333333;"/>
          <w:kern w:val="0"/>
          <w:sz w:val="24"/>
          <w:szCs w:val="24"/>
          <w:bdr w:val="none" w:color="auto" w:sz="0" w:space="0"/>
          <w:lang w:val="en-US" w:eastAsia="zh-CN" w:bidi="ar"/>
        </w:rPr>
        <w:t>繁荣老年用品市场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default" w:ascii="color:#333333;" w:hAnsi="color:#333333;" w:eastAsia="color:#333333;" w:cs="color:#333333;"/>
          <w:kern w:val="0"/>
          <w:sz w:val="24"/>
          <w:szCs w:val="24"/>
          <w:bdr w:val="none" w:color="auto" w:sz="0" w:space="0"/>
          <w:lang w:val="en-US" w:eastAsia="zh-CN" w:bidi="ar"/>
        </w:rPr>
        <w:t>增加老年用品供给。引导支持相关行业、企业围绕智能看护、应急救援、通信服务、电子商务、旅游休闲、服装服饰等领域，推进老年人适用产品、技术的研发和应用。充分利用我省资源优势，开发适合老年人的安全有效方便快捷的休闲养生食品和功能保健食品，发挥中医中药在老年预防保健方面的优势，积极研发中医养生保健产品。支持数字化养老服务产品和适用于个人及家庭的健康促进、健康检测监测等产品的研发，打造一批医养结合数据服务中心、产品用品研发中心、标准制定中心。鼓励企业开发适合老年人特点的可穿戴移动医疗设备，为老年人提供在线健康管理服务。支持康复辅助器具产业发展，建设安徽省康复辅助器具中心，力争成为国家级康复辅助器具科研和生产基地。加强老年用品测试和质量监管，鼓励开辟老年用品展示、体验场所，发展老年用品租赁市场，办好全省老龄产业博览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default" w:ascii="color:#333333;" w:hAnsi="color:#333333;" w:eastAsia="color:#333333;" w:cs="color:#333333;"/>
          <w:kern w:val="0"/>
          <w:sz w:val="24"/>
          <w:szCs w:val="24"/>
          <w:bdr w:val="none" w:color="auto" w:sz="0" w:space="0"/>
          <w:lang w:val="en-US" w:eastAsia="zh-CN" w:bidi="ar"/>
        </w:rPr>
        <w:t>提升老年用品科技含量。加强对老年用品产业共性技术的研发和创新。支持推动老年用品产业领域大众创业、万众创新。支持符合条件的老年用品企业牵头承担各类科技计划（专项、基金等）科研项目。支持技术密集型企业、科研院所、高校及老龄科研机构加强适老科技研发和成果转化应用。落实相关税收优惠政策，支持老年用品产业领域科技创新与应用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pPr>
      <w:r>
        <w:rPr>
          <w:rFonts w:hint="default" w:ascii="color:#333333;" w:hAnsi="color:#333333;" w:eastAsia="color:#333333;" w:cs="color:#333333;"/>
          <w:kern w:val="0"/>
          <w:sz w:val="24"/>
          <w:szCs w:val="24"/>
          <w:bdr w:val="none" w:color="auto" w:sz="0" w:space="0"/>
          <w:lang w:val="en-US" w:eastAsia="zh-CN" w:bidi="ar"/>
        </w:rPr>
        <w:t>第三节</w:t>
      </w:r>
      <w:r>
        <w:rPr>
          <w:rFonts w:hint="eastAsia" w:ascii="宋体" w:hAnsi="宋体" w:eastAsia="宋体" w:cs="宋体"/>
          <w:color w:val="333333"/>
          <w:kern w:val="0"/>
          <w:sz w:val="24"/>
          <w:szCs w:val="24"/>
          <w:bdr w:val="none" w:color="auto" w:sz="0" w:space="0"/>
          <w:lang w:val="en-US" w:eastAsia="zh-CN" w:bidi="ar"/>
        </w:rPr>
        <w:t>  </w:t>
      </w:r>
      <w:r>
        <w:rPr>
          <w:rFonts w:hint="default" w:ascii="color:#333333;" w:hAnsi="color:#333333;" w:eastAsia="color:#333333;" w:cs="color:#333333;"/>
          <w:kern w:val="0"/>
          <w:sz w:val="24"/>
          <w:szCs w:val="24"/>
          <w:bdr w:val="none" w:color="auto" w:sz="0" w:space="0"/>
          <w:lang w:val="en-US" w:eastAsia="zh-CN" w:bidi="ar"/>
        </w:rPr>
        <w:t>规范养老服务市场秩序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default" w:ascii="color:#333333;" w:hAnsi="color:#333333;" w:eastAsia="color:#333333;" w:cs="color:#333333;"/>
          <w:kern w:val="0"/>
          <w:sz w:val="24"/>
          <w:szCs w:val="24"/>
          <w:bdr w:val="none" w:color="auto" w:sz="0" w:space="0"/>
          <w:lang w:val="en-US" w:eastAsia="zh-CN" w:bidi="ar"/>
        </w:rPr>
        <w:t>鼓励多元投资参与。支持各类市场主体增加养老产品和服务供给，加快发展各类养老产品和要素市场，打破条块分割、地区封锁、城乡分离的市场格局，构建统一开放竞争有序的现代养老市场体系。明确政府、社会、市场、家庭等主体的责任范围和功能边界。对养老服务市场实行常态化、规范化管理，营造安全、便利、诚信的老年消费环境，完善服务质量满意度测评管理。研究制定涵盖基础通用标准、养老服务标准、管理标准、支撑保障标准以及老年人产品用品标准等互相衔接、覆盖全面、重点突出、结构合理的养老服务标准体系，健全标准实施效果评估机制，推动标准实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2"/>
        <w:jc w:val="center"/>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2"/>
        <w:jc w:val="center"/>
      </w:pPr>
      <w:r>
        <w:rPr>
          <w:rFonts w:hint="default" w:ascii="color:#333333;" w:hAnsi="color:#333333;" w:eastAsia="color:#333333;" w:cs="color:#333333;"/>
          <w:b/>
          <w:kern w:val="0"/>
          <w:sz w:val="24"/>
          <w:szCs w:val="24"/>
          <w:bdr w:val="none" w:color="auto" w:sz="0" w:space="0"/>
          <w:lang w:val="en-US" w:eastAsia="zh-CN" w:bidi="ar"/>
        </w:rPr>
        <w:t>第七章</w:t>
      </w:r>
      <w:r>
        <w:rPr>
          <w:rFonts w:hint="eastAsia" w:ascii="宋体" w:hAnsi="宋体" w:eastAsia="宋体" w:cs="宋体"/>
          <w:b/>
          <w:color w:val="333333"/>
          <w:kern w:val="0"/>
          <w:sz w:val="24"/>
          <w:szCs w:val="24"/>
          <w:bdr w:val="none" w:color="auto" w:sz="0" w:space="0"/>
          <w:lang w:val="en-US" w:eastAsia="zh-CN" w:bidi="ar"/>
        </w:rPr>
        <w:t> </w:t>
      </w:r>
      <w:r>
        <w:rPr>
          <w:rFonts w:hint="default" w:ascii="color:#333333;" w:hAnsi="color:#333333;" w:eastAsia="color:#333333;" w:cs="color:#333333;"/>
          <w:b/>
          <w:kern w:val="0"/>
          <w:sz w:val="24"/>
          <w:szCs w:val="24"/>
          <w:bdr w:val="none" w:color="auto" w:sz="0" w:space="0"/>
          <w:lang w:val="en-US" w:eastAsia="zh-CN" w:bidi="ar"/>
        </w:rPr>
        <w:t> 推进老年宜居环境建设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pPr>
      <w:r>
        <w:rPr>
          <w:rFonts w:hint="default" w:ascii="color:#333333;" w:hAnsi="color:#333333;" w:eastAsia="color:#333333;" w:cs="color:#333333;"/>
          <w:kern w:val="0"/>
          <w:sz w:val="24"/>
          <w:szCs w:val="24"/>
          <w:bdr w:val="none" w:color="auto" w:sz="0" w:space="0"/>
          <w:lang w:val="en-US" w:eastAsia="zh-CN" w:bidi="ar"/>
        </w:rPr>
        <w:t>第一节</w:t>
      </w:r>
      <w:r>
        <w:rPr>
          <w:rFonts w:hint="eastAsia" w:ascii="宋体" w:hAnsi="宋体" w:eastAsia="宋体" w:cs="宋体"/>
          <w:color w:val="333333"/>
          <w:kern w:val="0"/>
          <w:sz w:val="24"/>
          <w:szCs w:val="24"/>
          <w:bdr w:val="none" w:color="auto" w:sz="0" w:space="0"/>
          <w:lang w:val="en-US" w:eastAsia="zh-CN" w:bidi="ar"/>
        </w:rPr>
        <w:t>  </w:t>
      </w:r>
      <w:r>
        <w:rPr>
          <w:rFonts w:hint="default" w:ascii="color:#333333;" w:hAnsi="color:#333333;" w:eastAsia="color:#333333;" w:cs="color:#333333;"/>
          <w:kern w:val="0"/>
          <w:sz w:val="24"/>
          <w:szCs w:val="24"/>
          <w:bdr w:val="none" w:color="auto" w:sz="0" w:space="0"/>
          <w:lang w:val="en-US" w:eastAsia="zh-CN" w:bidi="ar"/>
        </w:rPr>
        <w:t>推动设施无障碍建设和改造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default" w:ascii="color:#333333;" w:hAnsi="color:#333333;" w:eastAsia="color:#333333;" w:cs="color:#333333;"/>
          <w:kern w:val="0"/>
          <w:sz w:val="24"/>
          <w:szCs w:val="24"/>
          <w:bdr w:val="none" w:color="auto" w:sz="0" w:space="0"/>
          <w:lang w:val="en-US" w:eastAsia="zh-CN" w:bidi="ar"/>
        </w:rPr>
        <w:t>严格执行无障碍环境建设相关法律法规，完善涉老工程技术标准规范体系，在规划、设计、施工、监理、验收、运行、维护、管理等环节加强相关标准的实施与监督。结合我省“两治三改”专项行动以及民生工程工作要求，加强居住区缘石坡道、轮椅坡道、人行通道，以及建筑公共出入口、公共走道、地面、楼梯、电梯候梯厅及轿厢等与老年人日常生活密切相关的公共服务设施和老年人家庭无障碍设施的设计与改造。支持公共建筑和其他公共场所，配备轮椅坡道、座椅、扶手等，方便老年人生活。对纳入年度改造计划的贫困老年人家庭给予适当补助。探索鼓励市场主体参与无障碍设施建设和改造的政策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pPr>
      <w:r>
        <w:rPr>
          <w:rFonts w:hint="default" w:ascii="color:#333333;" w:hAnsi="color:#333333;" w:eastAsia="color:#333333;" w:cs="color:#333333;"/>
          <w:kern w:val="0"/>
          <w:sz w:val="24"/>
          <w:szCs w:val="24"/>
          <w:bdr w:val="none" w:color="auto" w:sz="0" w:space="0"/>
          <w:lang w:val="en-US" w:eastAsia="zh-CN" w:bidi="ar"/>
        </w:rPr>
        <w:t>第二节</w:t>
      </w:r>
      <w:r>
        <w:rPr>
          <w:rFonts w:hint="eastAsia" w:ascii="宋体" w:hAnsi="宋体" w:eastAsia="宋体" w:cs="宋体"/>
          <w:color w:val="333333"/>
          <w:kern w:val="0"/>
          <w:sz w:val="24"/>
          <w:szCs w:val="24"/>
          <w:bdr w:val="none" w:color="auto" w:sz="0" w:space="0"/>
          <w:lang w:val="en-US" w:eastAsia="zh-CN" w:bidi="ar"/>
        </w:rPr>
        <w:t>  </w:t>
      </w:r>
      <w:r>
        <w:rPr>
          <w:rFonts w:hint="default" w:ascii="color:#333333;" w:hAnsi="color:#333333;" w:eastAsia="color:#333333;" w:cs="color:#333333;"/>
          <w:kern w:val="0"/>
          <w:sz w:val="24"/>
          <w:szCs w:val="24"/>
          <w:bdr w:val="none" w:color="auto" w:sz="0" w:space="0"/>
          <w:lang w:val="en-US" w:eastAsia="zh-CN" w:bidi="ar"/>
        </w:rPr>
        <w:t>营造安全绿色便利生活环境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default" w:ascii="color:#333333;" w:hAnsi="color:#333333;" w:eastAsia="color:#333333;" w:cs="color:#333333;"/>
          <w:kern w:val="0"/>
          <w:sz w:val="24"/>
          <w:szCs w:val="24"/>
          <w:bdr w:val="none" w:color="auto" w:sz="0" w:space="0"/>
          <w:lang w:val="en-US" w:eastAsia="zh-CN" w:bidi="ar"/>
        </w:rPr>
        <w:t>在推进老旧居住（小）区改造、棚户区改造、农村危房改造等工程中优先满足符合住房救助条件的老年人的基本住房安全需求。加强对养老服务设施的安全隐患排查和监管。加强养老服务设施节能宜居改造，将各类养老机构和城乡社区养老服务设施纳入绿色建筑行动重点扶持范围。推动老年人共建共享绿色社区、传统村落、美丽宜居村庄和生态文明建设成果，着力提升绿化品质，创建适老出行环境。支持多层老旧住宅加装电梯。继续推进街道、社区“老年人生活圈”配套设施建设，为老年人提供一站式便捷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eastAsia" w:ascii="宋体" w:hAnsi="宋体" w:eastAsia="宋体" w:cs="宋体"/>
          <w:color w:val="333333"/>
          <w:kern w:val="0"/>
          <w:sz w:val="24"/>
          <w:szCs w:val="24"/>
          <w:bdr w:val="none" w:color="auto" w:sz="0" w:space="0"/>
          <w:lang w:val="en-US" w:eastAsia="zh-CN" w:bidi="ar"/>
        </w:rPr>
        <w:t> </w:t>
      </w:r>
    </w:p>
    <w:tbl>
      <w:tblPr>
        <w:tblW w:w="8306" w:type="dxa"/>
        <w:jc w:val="center"/>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jc w:val="center"/>
        </w:trPr>
        <w:tc>
          <w:tcPr>
            <w:tcW w:w="830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pPr>
            <w:r>
              <w:rPr>
                <w:rFonts w:hint="default" w:ascii="color:#333333;" w:hAnsi="color:#333333;" w:eastAsia="color:#333333;" w:cs="color:#333333;"/>
                <w:color w:val="333333"/>
                <w:kern w:val="0"/>
                <w:sz w:val="24"/>
                <w:szCs w:val="24"/>
                <w:bdr w:val="none" w:color="auto" w:sz="0" w:space="0"/>
                <w:lang w:val="en-US" w:eastAsia="zh-CN" w:bidi="ar"/>
              </w:rPr>
              <w:t>专栏</w:t>
            </w:r>
            <w:r>
              <w:rPr>
                <w:rFonts w:hint="eastAsia" w:ascii="宋体" w:hAnsi="宋体" w:eastAsia="宋体" w:cs="宋体"/>
                <w:color w:val="333333"/>
                <w:kern w:val="0"/>
                <w:sz w:val="24"/>
                <w:szCs w:val="24"/>
                <w:bdr w:val="none" w:color="auto" w:sz="0" w:space="0"/>
                <w:lang w:val="en-US" w:eastAsia="zh-CN" w:bidi="ar"/>
              </w:rPr>
              <w:t>8  </w:t>
            </w:r>
            <w:r>
              <w:rPr>
                <w:rFonts w:hint="default" w:ascii="color:#333333;" w:hAnsi="color:#333333;" w:eastAsia="color:#333333;" w:cs="color:#333333;"/>
                <w:color w:val="333333"/>
                <w:kern w:val="0"/>
                <w:sz w:val="24"/>
                <w:szCs w:val="24"/>
                <w:bdr w:val="none" w:color="auto" w:sz="0" w:space="0"/>
                <w:lang w:val="en-US" w:eastAsia="zh-CN" w:bidi="ar"/>
              </w:rPr>
              <w:t>老年宜居环境建设工程</w:t>
            </w:r>
          </w:p>
        </w:tc>
      </w:tr>
      <w:tr>
        <w:tblPrEx>
          <w:shd w:val="clear"/>
          <w:tblLayout w:type="fixed"/>
          <w:tblCellMar>
            <w:top w:w="0" w:type="dxa"/>
            <w:left w:w="0" w:type="dxa"/>
            <w:bottom w:w="0" w:type="dxa"/>
            <w:right w:w="0" w:type="dxa"/>
          </w:tblCellMar>
        </w:tblPrEx>
        <w:trPr>
          <w:jc w:val="center"/>
        </w:trPr>
        <w:tc>
          <w:tcPr>
            <w:tcW w:w="8306"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left"/>
            </w:pPr>
            <w:r>
              <w:rPr>
                <w:rFonts w:hint="default" w:ascii="color:#333333;" w:hAnsi="color:#333333;" w:eastAsia="color:#333333;" w:cs="color:#333333;"/>
                <w:color w:val="333333"/>
                <w:kern w:val="0"/>
                <w:sz w:val="24"/>
                <w:szCs w:val="24"/>
                <w:bdr w:val="none" w:color="auto" w:sz="0" w:space="0"/>
                <w:lang w:val="en-US" w:eastAsia="zh-CN" w:bidi="ar"/>
              </w:rPr>
              <w:t>着力将养老服务设施纳入城乡社区配套设施建设规划，统筹布局适合老年人的公共基础设施、生活服务设施、医疗卫生设施和文化体育设施，推进宜居环境建设。在城市按照人均用地不少于</w:t>
            </w:r>
            <w:r>
              <w:rPr>
                <w:rFonts w:hint="eastAsia" w:ascii="宋体" w:hAnsi="宋体" w:eastAsia="宋体" w:cs="宋体"/>
                <w:color w:val="333333"/>
                <w:kern w:val="0"/>
                <w:sz w:val="24"/>
                <w:szCs w:val="24"/>
                <w:bdr w:val="none" w:color="auto" w:sz="0" w:space="0"/>
                <w:lang w:val="en-US" w:eastAsia="zh-CN" w:bidi="ar"/>
              </w:rPr>
              <w:t>0.2</w:t>
            </w:r>
            <w:r>
              <w:rPr>
                <w:rFonts w:hint="default" w:ascii="color:#333333;" w:hAnsi="color:#333333;" w:eastAsia="color:#333333;" w:cs="color:#333333;"/>
                <w:color w:val="333333"/>
                <w:kern w:val="0"/>
                <w:sz w:val="24"/>
                <w:szCs w:val="24"/>
                <w:bdr w:val="none" w:color="auto" w:sz="0" w:space="0"/>
                <w:lang w:val="en-US" w:eastAsia="zh-CN" w:bidi="ar"/>
              </w:rPr>
              <w:t>平方米的标准，分区分级规划设置养老服务设施，为老年人提供安全、便利、舒适的环境。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left"/>
            </w:pPr>
            <w:r>
              <w:rPr>
                <w:rFonts w:hint="default" w:ascii="color:#333333;" w:hAnsi="color:#333333;" w:eastAsia="color:#333333;" w:cs="color:#333333;"/>
                <w:color w:val="333333"/>
                <w:kern w:val="0"/>
                <w:sz w:val="24"/>
                <w:szCs w:val="24"/>
                <w:bdr w:val="none" w:color="auto" w:sz="0" w:space="0"/>
                <w:lang w:val="en-US" w:eastAsia="zh-CN" w:bidi="ar"/>
              </w:rPr>
              <w:t>开展老年宜居环境建设示范行动。完善老年宜居环境建设评价标准体系，开展“老年友好型城市”和“老年宜居社区”建设示范行动，继续开展全国无障碍建设城市创建工作。到</w:t>
            </w:r>
            <w:r>
              <w:rPr>
                <w:rFonts w:hint="eastAsia" w:ascii="宋体" w:hAnsi="宋体" w:eastAsia="宋体" w:cs="宋体"/>
                <w:color w:val="333333"/>
                <w:kern w:val="0"/>
                <w:sz w:val="24"/>
                <w:szCs w:val="24"/>
                <w:bdr w:val="none" w:color="auto" w:sz="0" w:space="0"/>
                <w:lang w:val="en-US" w:eastAsia="zh-CN" w:bidi="ar"/>
              </w:rPr>
              <w:t>2020</w:t>
            </w:r>
            <w:r>
              <w:rPr>
                <w:rFonts w:hint="default" w:ascii="color:#333333;" w:hAnsi="color:#333333;" w:eastAsia="color:#333333;" w:cs="color:#333333;"/>
                <w:color w:val="333333"/>
                <w:kern w:val="0"/>
                <w:sz w:val="24"/>
                <w:szCs w:val="24"/>
                <w:bdr w:val="none" w:color="auto" w:sz="0" w:space="0"/>
                <w:lang w:val="en-US" w:eastAsia="zh-CN" w:bidi="ar"/>
              </w:rPr>
              <w:t>年，</w:t>
            </w:r>
            <w:r>
              <w:rPr>
                <w:rFonts w:hint="eastAsia" w:ascii="宋体" w:hAnsi="宋体" w:eastAsia="宋体" w:cs="宋体"/>
                <w:color w:val="333333"/>
                <w:kern w:val="0"/>
                <w:sz w:val="24"/>
                <w:szCs w:val="24"/>
                <w:bdr w:val="none" w:color="auto" w:sz="0" w:space="0"/>
                <w:lang w:val="en-US" w:eastAsia="zh-CN" w:bidi="ar"/>
              </w:rPr>
              <w:t>60%</w:t>
            </w:r>
            <w:r>
              <w:rPr>
                <w:rFonts w:hint="default" w:ascii="color:#333333;" w:hAnsi="color:#333333;" w:eastAsia="color:#333333;" w:cs="color:#333333;"/>
                <w:color w:val="333333"/>
                <w:kern w:val="0"/>
                <w:sz w:val="24"/>
                <w:szCs w:val="24"/>
                <w:bdr w:val="none" w:color="auto" w:sz="0" w:space="0"/>
                <w:lang w:val="en-US" w:eastAsia="zh-CN" w:bidi="ar"/>
              </w:rPr>
              <w:t>以上城市社区达到老年宜居社区基本条件，</w:t>
            </w:r>
            <w:r>
              <w:rPr>
                <w:rFonts w:hint="eastAsia" w:ascii="宋体" w:hAnsi="宋体" w:eastAsia="宋体" w:cs="宋体"/>
                <w:color w:val="333333"/>
                <w:kern w:val="0"/>
                <w:sz w:val="24"/>
                <w:szCs w:val="24"/>
                <w:bdr w:val="none" w:color="auto" w:sz="0" w:space="0"/>
                <w:lang w:val="en-US" w:eastAsia="zh-CN" w:bidi="ar"/>
              </w:rPr>
              <w:t>40%</w:t>
            </w:r>
            <w:r>
              <w:rPr>
                <w:rFonts w:hint="default" w:ascii="color:#333333;" w:hAnsi="color:#333333;" w:eastAsia="color:#333333;" w:cs="color:#333333;"/>
                <w:color w:val="333333"/>
                <w:kern w:val="0"/>
                <w:sz w:val="24"/>
                <w:szCs w:val="24"/>
                <w:bdr w:val="none" w:color="auto" w:sz="0" w:space="0"/>
                <w:lang w:val="en-US" w:eastAsia="zh-CN" w:bidi="ar"/>
              </w:rPr>
              <w:t>以上农村具备老年宜居社区基本条件，大部分老年人的基本公共服务需求能够在社区得到满足。</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pPr>
      <w:r>
        <w:rPr>
          <w:rFonts w:hint="default" w:ascii="color:#333333;" w:hAnsi="color:#333333;" w:eastAsia="color:#333333;" w:cs="color:#333333;"/>
          <w:kern w:val="0"/>
          <w:sz w:val="24"/>
          <w:szCs w:val="24"/>
          <w:bdr w:val="none" w:color="auto" w:sz="0" w:space="0"/>
          <w:lang w:val="en-US" w:eastAsia="zh-CN" w:bidi="ar"/>
        </w:rPr>
        <w:t>第三节</w:t>
      </w:r>
      <w:r>
        <w:rPr>
          <w:rFonts w:hint="eastAsia" w:ascii="宋体" w:hAnsi="宋体" w:eastAsia="宋体" w:cs="宋体"/>
          <w:color w:val="333333"/>
          <w:kern w:val="0"/>
          <w:sz w:val="24"/>
          <w:szCs w:val="24"/>
          <w:bdr w:val="none" w:color="auto" w:sz="0" w:space="0"/>
          <w:lang w:val="en-US" w:eastAsia="zh-CN" w:bidi="ar"/>
        </w:rPr>
        <w:t>  </w:t>
      </w:r>
      <w:r>
        <w:rPr>
          <w:rFonts w:hint="default" w:ascii="color:#333333;" w:hAnsi="color:#333333;" w:eastAsia="color:#333333;" w:cs="color:#333333;"/>
          <w:kern w:val="0"/>
          <w:sz w:val="24"/>
          <w:szCs w:val="24"/>
          <w:bdr w:val="none" w:color="auto" w:sz="0" w:space="0"/>
          <w:lang w:val="en-US" w:eastAsia="zh-CN" w:bidi="ar"/>
        </w:rPr>
        <w:t>弘扬敬老养老助老的社会风尚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default" w:ascii="color:#333333;" w:hAnsi="color:#333333;" w:eastAsia="color:#333333;" w:cs="color:#333333;"/>
          <w:kern w:val="0"/>
          <w:sz w:val="24"/>
          <w:szCs w:val="24"/>
          <w:bdr w:val="none" w:color="auto" w:sz="0" w:space="0"/>
          <w:lang w:val="en-US" w:eastAsia="zh-CN" w:bidi="ar"/>
        </w:rPr>
        <w:t>把敬老养老助老纳入社会主义核心价值观宣传教育，纳入社会公德、职业道德、家庭美德、个人品德建设，纳入文明城市、文明村镇、文明单位、文明校园、文明家庭考评，建设具有民族特色、时代特征的孝亲敬老文化。充分发挥新闻媒体的主渠道作用和老龄媒体的专业作用，利用春节、清明节、中秋节、重阳节等传统节日，开展宣传教育活动，推动敬老养老助老教育进社区、进企业、进学校、进农村、进家庭。继续开展“敬老月”和全省福星孝星评选、“祝福百岁老人”活动。到</w:t>
      </w:r>
      <w:r>
        <w:rPr>
          <w:rFonts w:hint="eastAsia" w:ascii="宋体" w:hAnsi="宋体" w:eastAsia="宋体" w:cs="宋体"/>
          <w:color w:val="333333"/>
          <w:kern w:val="0"/>
          <w:sz w:val="24"/>
          <w:szCs w:val="24"/>
          <w:bdr w:val="none" w:color="auto" w:sz="0" w:space="0"/>
          <w:lang w:val="en-US" w:eastAsia="zh-CN" w:bidi="ar"/>
        </w:rPr>
        <w:t>2020</w:t>
      </w:r>
      <w:r>
        <w:rPr>
          <w:rFonts w:hint="default" w:ascii="color:#333333;" w:hAnsi="color:#333333;" w:eastAsia="color:#333333;" w:cs="color:#333333;"/>
          <w:kern w:val="0"/>
          <w:sz w:val="24"/>
          <w:szCs w:val="24"/>
          <w:bdr w:val="none" w:color="auto" w:sz="0" w:space="0"/>
          <w:lang w:val="en-US" w:eastAsia="zh-CN" w:bidi="ar"/>
        </w:rPr>
        <w:t>年，全面建立完善包括政务服务、卫生保健、交通出行、商业服务、文体休闲、维权服务在内的老年人优待照顾服务政策制度体系，落实优待规定，扩大优待范围，提高优待水平。着力推进非本地户籍常住老年人与本地户籍老年人同等享受优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2"/>
        <w:jc w:val="center"/>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2"/>
        <w:jc w:val="center"/>
      </w:pPr>
      <w:r>
        <w:rPr>
          <w:rFonts w:hint="default" w:ascii="color:#333333;" w:hAnsi="color:#333333;" w:eastAsia="color:#333333;" w:cs="color:#333333;"/>
          <w:b/>
          <w:kern w:val="0"/>
          <w:sz w:val="24"/>
          <w:szCs w:val="24"/>
          <w:bdr w:val="none" w:color="auto" w:sz="0" w:space="0"/>
          <w:lang w:val="en-US" w:eastAsia="zh-CN" w:bidi="ar"/>
        </w:rPr>
        <w:t>第八章</w:t>
      </w:r>
      <w:r>
        <w:rPr>
          <w:rFonts w:hint="eastAsia" w:ascii="宋体" w:hAnsi="宋体" w:eastAsia="宋体" w:cs="宋体"/>
          <w:b/>
          <w:color w:val="333333"/>
          <w:kern w:val="0"/>
          <w:sz w:val="24"/>
          <w:szCs w:val="24"/>
          <w:bdr w:val="none" w:color="auto" w:sz="0" w:space="0"/>
          <w:lang w:val="en-US" w:eastAsia="zh-CN" w:bidi="ar"/>
        </w:rPr>
        <w:t> </w:t>
      </w:r>
      <w:r>
        <w:rPr>
          <w:rFonts w:hint="default" w:ascii="color:#333333;" w:hAnsi="color:#333333;" w:eastAsia="color:#333333;" w:cs="color:#333333;"/>
          <w:b/>
          <w:kern w:val="0"/>
          <w:sz w:val="24"/>
          <w:szCs w:val="24"/>
          <w:bdr w:val="none" w:color="auto" w:sz="0" w:space="0"/>
          <w:lang w:val="en-US" w:eastAsia="zh-CN" w:bidi="ar"/>
        </w:rPr>
        <w:t> 丰富老年人精神文化生活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pPr>
      <w:r>
        <w:rPr>
          <w:rFonts w:hint="default" w:ascii="color:#333333;" w:hAnsi="color:#333333;" w:eastAsia="color:#333333;" w:cs="color:#333333;"/>
          <w:kern w:val="0"/>
          <w:sz w:val="24"/>
          <w:szCs w:val="24"/>
          <w:bdr w:val="none" w:color="auto" w:sz="0" w:space="0"/>
          <w:lang w:val="en-US" w:eastAsia="zh-CN" w:bidi="ar"/>
        </w:rPr>
        <w:t>第一节</w:t>
      </w:r>
      <w:r>
        <w:rPr>
          <w:rFonts w:hint="eastAsia" w:ascii="宋体" w:hAnsi="宋体" w:eastAsia="宋体" w:cs="宋体"/>
          <w:color w:val="333333"/>
          <w:kern w:val="0"/>
          <w:sz w:val="24"/>
          <w:szCs w:val="24"/>
          <w:bdr w:val="none" w:color="auto" w:sz="0" w:space="0"/>
          <w:lang w:val="en-US" w:eastAsia="zh-CN" w:bidi="ar"/>
        </w:rPr>
        <w:t>  </w:t>
      </w:r>
      <w:r>
        <w:rPr>
          <w:rFonts w:hint="default" w:ascii="color:#333333;" w:hAnsi="color:#333333;" w:eastAsia="color:#333333;" w:cs="color:#333333;"/>
          <w:kern w:val="0"/>
          <w:sz w:val="24"/>
          <w:szCs w:val="24"/>
          <w:bdr w:val="none" w:color="auto" w:sz="0" w:space="0"/>
          <w:lang w:val="en-US" w:eastAsia="zh-CN" w:bidi="ar"/>
        </w:rPr>
        <w:t>发展老年教育</w:t>
      </w:r>
      <w:r>
        <w:rPr>
          <w:rFonts w:hint="eastAsia" w:ascii="宋体" w:hAnsi="宋体" w:eastAsia="宋体" w:cs="宋体"/>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default" w:ascii="color:#333333;" w:hAnsi="color:#333333;" w:eastAsia="color:#333333;" w:cs="color:#333333;"/>
          <w:kern w:val="0"/>
          <w:sz w:val="24"/>
          <w:szCs w:val="24"/>
          <w:bdr w:val="none" w:color="auto" w:sz="0" w:space="0"/>
          <w:lang w:val="en-US" w:eastAsia="zh-CN" w:bidi="ar"/>
        </w:rPr>
        <w:t>将老年教育纳入终身教育体系，落实老年教育发展规划。扩大老年教育资源供给，拓展老年教育发展路径，加强老年教育支持服务，创新老年教育发展机制，促进老年教育可持续发展。优先发展城乡社区老年教育，建立健全“县（市、区）—乡镇（街道）—村（居委会）”三级社区老年教育网络，到</w:t>
      </w:r>
      <w:r>
        <w:rPr>
          <w:rFonts w:hint="eastAsia" w:ascii="宋体" w:hAnsi="宋体" w:eastAsia="宋体" w:cs="宋体"/>
          <w:color w:val="333333"/>
          <w:kern w:val="0"/>
          <w:sz w:val="24"/>
          <w:szCs w:val="24"/>
          <w:bdr w:val="none" w:color="auto" w:sz="0" w:space="0"/>
          <w:lang w:val="en-US" w:eastAsia="zh-CN" w:bidi="ar"/>
        </w:rPr>
        <w:t>2020</w:t>
      </w:r>
      <w:r>
        <w:rPr>
          <w:rFonts w:hint="default" w:ascii="color:#333333;" w:hAnsi="color:#333333;" w:eastAsia="color:#333333;" w:cs="color:#333333;"/>
          <w:kern w:val="0"/>
          <w:sz w:val="24"/>
          <w:szCs w:val="24"/>
          <w:bdr w:val="none" w:color="auto" w:sz="0" w:space="0"/>
          <w:lang w:val="en-US" w:eastAsia="zh-CN" w:bidi="ar"/>
        </w:rPr>
        <w:t>年，</w:t>
      </w:r>
      <w:r>
        <w:rPr>
          <w:rFonts w:hint="eastAsia" w:ascii="宋体" w:hAnsi="宋体" w:eastAsia="宋体" w:cs="宋体"/>
          <w:color w:val="333333"/>
          <w:kern w:val="0"/>
          <w:sz w:val="24"/>
          <w:szCs w:val="24"/>
          <w:bdr w:val="none" w:color="auto" w:sz="0" w:space="0"/>
          <w:lang w:val="en-US" w:eastAsia="zh-CN" w:bidi="ar"/>
        </w:rPr>
        <w:t>95%</w:t>
      </w:r>
      <w:r>
        <w:rPr>
          <w:rFonts w:hint="default" w:ascii="color:#333333;" w:hAnsi="color:#333333;" w:eastAsia="color:#333333;" w:cs="color:#333333;"/>
          <w:kern w:val="0"/>
          <w:sz w:val="24"/>
          <w:szCs w:val="24"/>
          <w:bdr w:val="none" w:color="auto" w:sz="0" w:space="0"/>
          <w:lang w:val="en-US" w:eastAsia="zh-CN" w:bidi="ar"/>
        </w:rPr>
        <w:t>的乡镇（街道）建立老年学校，</w:t>
      </w:r>
      <w:r>
        <w:rPr>
          <w:rFonts w:hint="eastAsia" w:ascii="宋体" w:hAnsi="宋体" w:eastAsia="宋体" w:cs="宋体"/>
          <w:color w:val="333333"/>
          <w:kern w:val="0"/>
          <w:sz w:val="24"/>
          <w:szCs w:val="24"/>
          <w:bdr w:val="none" w:color="auto" w:sz="0" w:space="0"/>
          <w:lang w:val="en-US" w:eastAsia="zh-CN" w:bidi="ar"/>
        </w:rPr>
        <w:t>50%</w:t>
      </w:r>
      <w:r>
        <w:rPr>
          <w:rFonts w:hint="default" w:ascii="color:#333333;" w:hAnsi="color:#333333;" w:eastAsia="color:#333333;" w:cs="color:#333333;"/>
          <w:kern w:val="0"/>
          <w:sz w:val="24"/>
          <w:szCs w:val="24"/>
          <w:bdr w:val="none" w:color="auto" w:sz="0" w:space="0"/>
          <w:lang w:val="en-US" w:eastAsia="zh-CN" w:bidi="ar"/>
        </w:rPr>
        <w:t>的行政村（居委会）建立老年学习点，方便老年人就近学习。促进各级各类学校开展老年教育，部门、行业企业、高校等举办的老年大学要逐步从服务本单位、本系统离退休职工向服务社会老年人转变，鼓励支持各类社会力量举办或参与老年教育。整合文化体育科技资源服务老年教育，各市、县（市、区）至少建立</w:t>
      </w:r>
      <w:r>
        <w:rPr>
          <w:rFonts w:hint="eastAsia" w:ascii="宋体" w:hAnsi="宋体" w:eastAsia="宋体" w:cs="宋体"/>
          <w:color w:val="333333"/>
          <w:kern w:val="0"/>
          <w:sz w:val="24"/>
          <w:szCs w:val="24"/>
          <w:bdr w:val="none" w:color="auto" w:sz="0" w:space="0"/>
          <w:lang w:val="en-US" w:eastAsia="zh-CN" w:bidi="ar"/>
        </w:rPr>
        <w:t>1</w:t>
      </w:r>
      <w:r>
        <w:rPr>
          <w:rFonts w:hint="default" w:ascii="color:#333333;" w:hAnsi="color:#333333;" w:eastAsia="color:#333333;" w:cs="color:#333333;"/>
          <w:kern w:val="0"/>
          <w:sz w:val="24"/>
          <w:szCs w:val="24"/>
          <w:bdr w:val="none" w:color="auto" w:sz="0" w:space="0"/>
          <w:lang w:val="en-US" w:eastAsia="zh-CN" w:bidi="ar"/>
        </w:rPr>
        <w:t>个示范性老年教育学习体验基地。利用养老资源推动老年教育，到</w:t>
      </w:r>
      <w:r>
        <w:rPr>
          <w:rFonts w:hint="eastAsia" w:ascii="宋体" w:hAnsi="宋体" w:eastAsia="宋体" w:cs="宋体"/>
          <w:color w:val="333333"/>
          <w:kern w:val="0"/>
          <w:sz w:val="24"/>
          <w:szCs w:val="24"/>
          <w:bdr w:val="none" w:color="auto" w:sz="0" w:space="0"/>
          <w:lang w:val="en-US" w:eastAsia="zh-CN" w:bidi="ar"/>
        </w:rPr>
        <w:t>2020</w:t>
      </w:r>
      <w:r>
        <w:rPr>
          <w:rFonts w:hint="default" w:ascii="color:#333333;" w:hAnsi="color:#333333;" w:eastAsia="color:#333333;" w:cs="color:#333333;"/>
          <w:kern w:val="0"/>
          <w:sz w:val="24"/>
          <w:szCs w:val="24"/>
          <w:bdr w:val="none" w:color="auto" w:sz="0" w:space="0"/>
          <w:lang w:val="en-US" w:eastAsia="zh-CN" w:bidi="ar"/>
        </w:rPr>
        <w:t>年，建立</w:t>
      </w:r>
      <w:r>
        <w:rPr>
          <w:rFonts w:hint="eastAsia" w:ascii="宋体" w:hAnsi="宋体" w:eastAsia="宋体" w:cs="宋体"/>
          <w:color w:val="333333"/>
          <w:kern w:val="0"/>
          <w:sz w:val="24"/>
          <w:szCs w:val="24"/>
          <w:bdr w:val="none" w:color="auto" w:sz="0" w:space="0"/>
          <w:lang w:val="en-US" w:eastAsia="zh-CN" w:bidi="ar"/>
        </w:rPr>
        <w:t>300</w:t>
      </w:r>
      <w:r>
        <w:rPr>
          <w:rFonts w:hint="default" w:ascii="color:#333333;" w:hAnsi="color:#333333;" w:eastAsia="color:#333333;" w:cs="color:#333333;"/>
          <w:kern w:val="0"/>
          <w:sz w:val="24"/>
          <w:szCs w:val="24"/>
          <w:bdr w:val="none" w:color="auto" w:sz="0" w:space="0"/>
          <w:lang w:val="en-US" w:eastAsia="zh-CN" w:bidi="ar"/>
        </w:rPr>
        <w:t>个养教结合学习点，</w:t>
      </w:r>
      <w:r>
        <w:rPr>
          <w:rFonts w:hint="eastAsia" w:ascii="宋体" w:hAnsi="宋体" w:eastAsia="宋体" w:cs="宋体"/>
          <w:color w:val="333333"/>
          <w:kern w:val="0"/>
          <w:sz w:val="24"/>
          <w:szCs w:val="24"/>
          <w:bdr w:val="none" w:color="auto" w:sz="0" w:space="0"/>
          <w:lang w:val="en-US" w:eastAsia="zh-CN" w:bidi="ar"/>
        </w:rPr>
        <w:t>32</w:t>
      </w:r>
      <w:r>
        <w:rPr>
          <w:rFonts w:hint="default" w:ascii="color:#333333;" w:hAnsi="color:#333333;" w:eastAsia="color:#333333;" w:cs="color:#333333;"/>
          <w:kern w:val="0"/>
          <w:sz w:val="24"/>
          <w:szCs w:val="24"/>
          <w:bdr w:val="none" w:color="auto" w:sz="0" w:space="0"/>
          <w:lang w:val="en-US" w:eastAsia="zh-CN" w:bidi="ar"/>
        </w:rPr>
        <w:t>个养教结合示范学习点。发展远程老年教育。到</w:t>
      </w:r>
      <w:r>
        <w:rPr>
          <w:rFonts w:hint="eastAsia" w:ascii="宋体" w:hAnsi="宋体" w:eastAsia="宋体" w:cs="宋体"/>
          <w:color w:val="333333"/>
          <w:kern w:val="0"/>
          <w:sz w:val="24"/>
          <w:szCs w:val="24"/>
          <w:bdr w:val="none" w:color="auto" w:sz="0" w:space="0"/>
          <w:lang w:val="en-US" w:eastAsia="zh-CN" w:bidi="ar"/>
        </w:rPr>
        <w:t>2020</w:t>
      </w:r>
      <w:r>
        <w:rPr>
          <w:rFonts w:hint="default" w:ascii="color:#333333;" w:hAnsi="color:#333333;" w:eastAsia="color:#333333;" w:cs="color:#333333;"/>
          <w:kern w:val="0"/>
          <w:sz w:val="24"/>
          <w:szCs w:val="24"/>
          <w:bdr w:val="none" w:color="auto" w:sz="0" w:space="0"/>
          <w:lang w:val="en-US" w:eastAsia="zh-CN" w:bidi="ar"/>
        </w:rPr>
        <w:t>年，力争远程老年教育覆盖全省各市、县（市、区），</w:t>
      </w:r>
      <w:r>
        <w:rPr>
          <w:rFonts w:hint="eastAsia" w:ascii="宋体" w:hAnsi="宋体" w:eastAsia="宋体" w:cs="宋体"/>
          <w:color w:val="333333"/>
          <w:kern w:val="0"/>
          <w:sz w:val="24"/>
          <w:szCs w:val="24"/>
          <w:bdr w:val="none" w:color="auto" w:sz="0" w:space="0"/>
          <w:lang w:val="en-US" w:eastAsia="zh-CN" w:bidi="ar"/>
        </w:rPr>
        <w:t>100%</w:t>
      </w:r>
      <w:r>
        <w:rPr>
          <w:rFonts w:hint="default" w:ascii="color:#333333;" w:hAnsi="color:#333333;" w:eastAsia="color:#333333;" w:cs="color:#333333;"/>
          <w:kern w:val="0"/>
          <w:sz w:val="24"/>
          <w:szCs w:val="24"/>
          <w:bdr w:val="none" w:color="auto" w:sz="0" w:space="0"/>
          <w:lang w:val="en-US" w:eastAsia="zh-CN" w:bidi="ar"/>
        </w:rPr>
        <w:t>的乡镇（街道）建立老年学习网点，形成“省—市—县（市、区）—乡镇（街道）”四级远程老年教育网络。实施社会主义核心价值观培育、老年教育机构基础能力提升、学习资源建设整合等计划。到</w:t>
      </w:r>
      <w:r>
        <w:rPr>
          <w:rFonts w:hint="eastAsia" w:ascii="宋体" w:hAnsi="宋体" w:eastAsia="宋体" w:cs="宋体"/>
          <w:color w:val="333333"/>
          <w:kern w:val="0"/>
          <w:sz w:val="24"/>
          <w:szCs w:val="24"/>
          <w:bdr w:val="none" w:color="auto" w:sz="0" w:space="0"/>
          <w:lang w:val="en-US" w:eastAsia="zh-CN" w:bidi="ar"/>
        </w:rPr>
        <w:t>2020</w:t>
      </w:r>
      <w:r>
        <w:rPr>
          <w:rFonts w:hint="default" w:ascii="color:#333333;" w:hAnsi="color:#333333;" w:eastAsia="color:#333333;" w:cs="color:#333333;"/>
          <w:kern w:val="0"/>
          <w:sz w:val="24"/>
          <w:szCs w:val="24"/>
          <w:bdr w:val="none" w:color="auto" w:sz="0" w:space="0"/>
          <w:lang w:val="en-US" w:eastAsia="zh-CN" w:bidi="ar"/>
        </w:rPr>
        <w:t>年，逐步实现县（市、区）老年大学全覆盖，基本形成覆盖广泛、灵活多样、特色鲜明、规范有序、具有安徽特色的老年教育新格局。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eastAsia" w:ascii="宋体" w:hAnsi="宋体" w:eastAsia="宋体" w:cs="宋体"/>
          <w:color w:val="333333"/>
          <w:kern w:val="0"/>
          <w:sz w:val="24"/>
          <w:szCs w:val="24"/>
          <w:bdr w:val="none" w:color="auto" w:sz="0" w:space="0"/>
          <w:lang w:val="en-US" w:eastAsia="zh-CN" w:bidi="ar"/>
        </w:rPr>
        <w:t> </w:t>
      </w:r>
    </w:p>
    <w:tbl>
      <w:tblPr>
        <w:tblW w:w="8306" w:type="dxa"/>
        <w:jc w:val="center"/>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jc w:val="center"/>
        </w:trPr>
        <w:tc>
          <w:tcPr>
            <w:tcW w:w="830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pPr>
            <w:r>
              <w:rPr>
                <w:rFonts w:hint="default" w:ascii="color:#333333;" w:hAnsi="color:#333333;" w:eastAsia="color:#333333;" w:cs="color:#333333;"/>
                <w:color w:val="333333"/>
                <w:kern w:val="0"/>
                <w:sz w:val="24"/>
                <w:szCs w:val="24"/>
                <w:bdr w:val="none" w:color="auto" w:sz="0" w:space="0"/>
                <w:lang w:val="en-US" w:eastAsia="zh-CN" w:bidi="ar"/>
              </w:rPr>
              <w:t>专栏</w:t>
            </w:r>
            <w:r>
              <w:rPr>
                <w:rFonts w:hint="eastAsia" w:ascii="宋体" w:hAnsi="宋体" w:eastAsia="宋体" w:cs="宋体"/>
                <w:color w:val="333333"/>
                <w:kern w:val="0"/>
                <w:sz w:val="24"/>
                <w:szCs w:val="24"/>
                <w:bdr w:val="none" w:color="auto" w:sz="0" w:space="0"/>
                <w:lang w:val="en-US" w:eastAsia="zh-CN" w:bidi="ar"/>
              </w:rPr>
              <w:t>9</w:t>
            </w:r>
            <w:r>
              <w:rPr>
                <w:rFonts w:hint="default" w:ascii="color:#333333;" w:hAnsi="color:#333333;" w:eastAsia="color:#333333;" w:cs="color:#333333;"/>
                <w:color w:val="333333"/>
                <w:kern w:val="0"/>
                <w:sz w:val="24"/>
                <w:szCs w:val="24"/>
                <w:bdr w:val="none" w:color="auto" w:sz="0" w:space="0"/>
                <w:lang w:val="en-US" w:eastAsia="zh-CN" w:bidi="ar"/>
              </w:rPr>
              <w:t>　老年教育机构基础能力提升计划</w:t>
            </w:r>
          </w:p>
        </w:tc>
      </w:tr>
      <w:tr>
        <w:tblPrEx>
          <w:shd w:val="clear"/>
          <w:tblLayout w:type="fixed"/>
          <w:tblCellMar>
            <w:top w:w="0" w:type="dxa"/>
            <w:left w:w="0" w:type="dxa"/>
            <w:bottom w:w="0" w:type="dxa"/>
            <w:right w:w="0" w:type="dxa"/>
          </w:tblCellMar>
        </w:tblPrEx>
        <w:trPr>
          <w:jc w:val="center"/>
        </w:trPr>
        <w:tc>
          <w:tcPr>
            <w:tcW w:w="830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left"/>
            </w:pPr>
            <w:r>
              <w:rPr>
                <w:rFonts w:hint="default" w:ascii="color:#333333;" w:hAnsi="color:#333333;" w:eastAsia="color:#333333;" w:cs="color:#333333;"/>
                <w:color w:val="333333"/>
                <w:kern w:val="0"/>
                <w:sz w:val="24"/>
                <w:szCs w:val="24"/>
                <w:bdr w:val="none" w:color="auto" w:sz="0" w:space="0"/>
                <w:lang w:val="en-US" w:eastAsia="zh-CN" w:bidi="ar"/>
              </w:rPr>
              <w:t>改善现有老年大学的办学条件，提升其教学场所和设施的现代化、规范化水平，进一步增强其社会服务能力。到</w:t>
            </w:r>
            <w:r>
              <w:rPr>
                <w:rFonts w:hint="eastAsia" w:ascii="宋体" w:hAnsi="宋体" w:eastAsia="宋体" w:cs="宋体"/>
                <w:color w:val="333333"/>
                <w:kern w:val="0"/>
                <w:sz w:val="24"/>
                <w:szCs w:val="24"/>
                <w:bdr w:val="none" w:color="auto" w:sz="0" w:space="0"/>
                <w:lang w:val="en-US" w:eastAsia="zh-CN" w:bidi="ar"/>
              </w:rPr>
              <w:t>2020</w:t>
            </w:r>
            <w:r>
              <w:rPr>
                <w:rFonts w:hint="default" w:ascii="color:#333333;" w:hAnsi="color:#333333;" w:eastAsia="color:#333333;" w:cs="color:#333333;"/>
                <w:color w:val="333333"/>
                <w:kern w:val="0"/>
                <w:sz w:val="24"/>
                <w:szCs w:val="24"/>
                <w:bdr w:val="none" w:color="auto" w:sz="0" w:space="0"/>
                <w:lang w:val="en-US" w:eastAsia="zh-CN" w:bidi="ar"/>
              </w:rPr>
              <w:t>年，省老年大学校舍建筑面积不低于</w:t>
            </w:r>
            <w:r>
              <w:rPr>
                <w:rFonts w:hint="eastAsia" w:ascii="宋体" w:hAnsi="宋体" w:eastAsia="宋体" w:cs="宋体"/>
                <w:color w:val="333333"/>
                <w:kern w:val="0"/>
                <w:sz w:val="24"/>
                <w:szCs w:val="24"/>
                <w:bdr w:val="none" w:color="auto" w:sz="0" w:space="0"/>
                <w:lang w:val="en-US" w:eastAsia="zh-CN" w:bidi="ar"/>
              </w:rPr>
              <w:t>30000</w:t>
            </w:r>
            <w:r>
              <w:rPr>
                <w:rFonts w:hint="default" w:ascii="color:#333333;" w:hAnsi="color:#333333;" w:eastAsia="color:#333333;" w:cs="color:#333333;"/>
                <w:color w:val="333333"/>
                <w:kern w:val="0"/>
                <w:sz w:val="24"/>
                <w:szCs w:val="24"/>
                <w:bdr w:val="none" w:color="auto" w:sz="0" w:space="0"/>
                <w:lang w:val="en-US" w:eastAsia="zh-CN" w:bidi="ar"/>
              </w:rPr>
              <w:t>平方米，市老年大学校舍建筑面积原则上不低于</w:t>
            </w:r>
            <w:r>
              <w:rPr>
                <w:rFonts w:hint="eastAsia" w:ascii="宋体" w:hAnsi="宋体" w:eastAsia="宋体" w:cs="宋体"/>
                <w:color w:val="333333"/>
                <w:kern w:val="0"/>
                <w:sz w:val="24"/>
                <w:szCs w:val="24"/>
                <w:bdr w:val="none" w:color="auto" w:sz="0" w:space="0"/>
                <w:lang w:val="en-US" w:eastAsia="zh-CN" w:bidi="ar"/>
              </w:rPr>
              <w:t>5000</w:t>
            </w:r>
            <w:r>
              <w:rPr>
                <w:rFonts w:hint="default" w:ascii="color:#333333;" w:hAnsi="color:#333333;" w:eastAsia="color:#333333;" w:cs="color:#333333;"/>
                <w:color w:val="333333"/>
                <w:kern w:val="0"/>
                <w:sz w:val="24"/>
                <w:szCs w:val="24"/>
                <w:bdr w:val="none" w:color="auto" w:sz="0" w:space="0"/>
                <w:lang w:val="en-US" w:eastAsia="zh-CN" w:bidi="ar"/>
              </w:rPr>
              <w:t>平方米，县（市、区）老年大学校舍建筑面积原则上不低于</w:t>
            </w:r>
            <w:r>
              <w:rPr>
                <w:rFonts w:hint="eastAsia" w:ascii="宋体" w:hAnsi="宋体" w:eastAsia="宋体" w:cs="宋体"/>
                <w:color w:val="333333"/>
                <w:kern w:val="0"/>
                <w:sz w:val="24"/>
                <w:szCs w:val="24"/>
                <w:bdr w:val="none" w:color="auto" w:sz="0" w:space="0"/>
                <w:lang w:val="en-US" w:eastAsia="zh-CN" w:bidi="ar"/>
              </w:rPr>
              <w:t>3000</w:t>
            </w:r>
            <w:r>
              <w:rPr>
                <w:rFonts w:hint="default" w:ascii="color:#333333;" w:hAnsi="color:#333333;" w:eastAsia="color:#333333;" w:cs="color:#333333;"/>
                <w:color w:val="333333"/>
                <w:kern w:val="0"/>
                <w:sz w:val="24"/>
                <w:szCs w:val="24"/>
                <w:bdr w:val="none" w:color="auto" w:sz="0" w:space="0"/>
                <w:lang w:val="en-US" w:eastAsia="zh-CN" w:bidi="ar"/>
              </w:rPr>
              <w:t>平方米。推进老年教育机构规范化建设，建设一批在本区域发挥示范作用的乡镇（街道）社区老年人学习场所，做到有人员、有经费、有场所、有计划、有教学；建设好村（居委会）老年社区学习点，做到有场所、有教学。探索“养、医、体、文”等场所与老年人学习场所的结合，推出一批创新老年教育办学模式的典型。编辑出版有时代特色、科学内涵、文化品位，适应社会需要的老年教育系列教材。到</w:t>
            </w:r>
            <w:r>
              <w:rPr>
                <w:rFonts w:hint="eastAsia" w:ascii="宋体" w:hAnsi="宋体" w:eastAsia="宋体" w:cs="宋体"/>
                <w:color w:val="333333"/>
                <w:kern w:val="0"/>
                <w:sz w:val="24"/>
                <w:szCs w:val="24"/>
                <w:bdr w:val="none" w:color="auto" w:sz="0" w:space="0"/>
                <w:lang w:val="en-US" w:eastAsia="zh-CN" w:bidi="ar"/>
              </w:rPr>
              <w:t>2020</w:t>
            </w:r>
            <w:r>
              <w:rPr>
                <w:rFonts w:hint="default" w:ascii="color:#333333;" w:hAnsi="color:#333333;" w:eastAsia="color:#333333;" w:cs="color:#333333;"/>
                <w:color w:val="333333"/>
                <w:kern w:val="0"/>
                <w:sz w:val="24"/>
                <w:szCs w:val="24"/>
                <w:bdr w:val="none" w:color="auto" w:sz="0" w:space="0"/>
                <w:lang w:val="en-US" w:eastAsia="zh-CN" w:bidi="ar"/>
              </w:rPr>
              <w:t>年，初步建立起支撑全省老年教育发展的学习资源库。</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560" w:right="0" w:hanging="1080"/>
        <w:jc w:val="center"/>
      </w:pPr>
      <w:r>
        <w:rPr>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560" w:right="0" w:hanging="1080"/>
        <w:jc w:val="center"/>
      </w:pPr>
      <w:r>
        <w:rPr>
          <w:rFonts w:hint="default" w:ascii="color:#333333;" w:hAnsi="color:#333333;" w:eastAsia="color:#333333;" w:cs="color:#333333;"/>
          <w:sz w:val="24"/>
          <w:szCs w:val="24"/>
          <w:bdr w:val="none" w:color="auto" w:sz="0" w:space="0"/>
        </w:rPr>
        <w:t>第三节     繁荣老年文化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default" w:ascii="color:#333333;" w:hAnsi="color:#333333;" w:eastAsia="color:#333333;" w:cs="color:#333333;"/>
          <w:kern w:val="0"/>
          <w:sz w:val="24"/>
          <w:szCs w:val="24"/>
          <w:bdr w:val="none" w:color="auto" w:sz="0" w:space="0"/>
          <w:lang w:val="en-US" w:eastAsia="zh-CN" w:bidi="ar"/>
        </w:rPr>
        <w:t>完善覆盖城乡的公共文化设施网络。在基层公共文化设施内开辟适宜老年人的文化娱乐活动场所，增加适合老年人的特色文化服务项目。深化公共文化服务设施免费开放，做好面向老年人的公共文化服务，为老年人开展文化活动提供便利。文化信息资源共享、农村电影放映、农家书屋等重大文化惠民工程增加面向老年人的服务内容和资源。推动群众性老年文化活动蓬勃发展，继续办好全省老年人书画艺术展、全省老年文艺调演和全省老年文化艺术节等省级老年文化活动品牌，充分发挥基层老年文艺团队作用，鼓励支持各地打造特色老年群众文化活动品牌。鼓励制作适合微博、微信、手机客户端等新媒体传播的优秀老年文化作品。加强数字图书馆、数字博物馆、数字文化馆的建设和管理，拓展面向老年人的数字资源服务。加强专业人才和业余爱好者相结合的老年文化队伍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pPr>
      <w:r>
        <w:rPr>
          <w:rFonts w:hint="default" w:ascii="color:#333333;" w:hAnsi="color:#333333;" w:eastAsia="color:#333333;" w:cs="color:#333333;"/>
          <w:kern w:val="0"/>
          <w:sz w:val="24"/>
          <w:szCs w:val="24"/>
          <w:bdr w:val="none" w:color="auto" w:sz="0" w:space="0"/>
          <w:lang w:val="en-US" w:eastAsia="zh-CN" w:bidi="ar"/>
        </w:rPr>
        <w:t>第三节</w:t>
      </w:r>
      <w:r>
        <w:rPr>
          <w:rFonts w:hint="eastAsia" w:ascii="宋体" w:hAnsi="宋体" w:eastAsia="宋体" w:cs="宋体"/>
          <w:color w:val="333333"/>
          <w:kern w:val="0"/>
          <w:sz w:val="24"/>
          <w:szCs w:val="24"/>
          <w:bdr w:val="none" w:color="auto" w:sz="0" w:space="0"/>
          <w:lang w:val="en-US" w:eastAsia="zh-CN" w:bidi="ar"/>
        </w:rPr>
        <w:t>  </w:t>
      </w:r>
      <w:r>
        <w:rPr>
          <w:rFonts w:hint="default" w:ascii="color:#333333;" w:hAnsi="color:#333333;" w:eastAsia="color:#333333;" w:cs="color:#333333;"/>
          <w:kern w:val="0"/>
          <w:sz w:val="24"/>
          <w:szCs w:val="24"/>
          <w:bdr w:val="none" w:color="auto" w:sz="0" w:space="0"/>
          <w:lang w:val="en-US" w:eastAsia="zh-CN" w:bidi="ar"/>
        </w:rPr>
        <w:t>加强老年人精神关爱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default" w:ascii="color:#333333;" w:hAnsi="color:#333333;" w:eastAsia="color:#333333;" w:cs="color:#333333;"/>
          <w:kern w:val="0"/>
          <w:sz w:val="24"/>
          <w:szCs w:val="24"/>
          <w:bdr w:val="none" w:color="auto" w:sz="0" w:space="0"/>
          <w:lang w:val="en-US" w:eastAsia="zh-CN" w:bidi="ar"/>
        </w:rPr>
        <w:t>健全老年人精神关爱、心理疏导、危机干预服务网络。依托社会工作服务机构、专业心理工作者和社会工作者开展老年心理健康服务试点，为老年人提供心理关怀和精神关爱。支持专业社会工作者组织企事业单位、社会组织、志愿者等社会力量开展“一助一”“多助一”等多种形式的结对关爱老年人服务活动。鼓励城乡社区为老年人精神关爱提供活动场地、工作条件等支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pPr>
      <w:r>
        <w:rPr>
          <w:rFonts w:hint="default" w:ascii="color:#333333;" w:hAnsi="color:#333333;" w:eastAsia="color:#333333;" w:cs="color:#333333;"/>
          <w:kern w:val="0"/>
          <w:sz w:val="24"/>
          <w:szCs w:val="24"/>
          <w:bdr w:val="none" w:color="auto" w:sz="0" w:space="0"/>
          <w:lang w:val="en-US" w:eastAsia="zh-CN" w:bidi="ar"/>
        </w:rPr>
        <w:t>第四节</w:t>
      </w:r>
      <w:r>
        <w:rPr>
          <w:rFonts w:hint="eastAsia" w:ascii="宋体" w:hAnsi="宋体" w:eastAsia="宋体" w:cs="宋体"/>
          <w:color w:val="333333"/>
          <w:kern w:val="0"/>
          <w:sz w:val="24"/>
          <w:szCs w:val="24"/>
          <w:bdr w:val="none" w:color="auto" w:sz="0" w:space="0"/>
          <w:lang w:val="en-US" w:eastAsia="zh-CN" w:bidi="ar"/>
        </w:rPr>
        <w:t>  </w:t>
      </w:r>
      <w:r>
        <w:rPr>
          <w:rFonts w:hint="default" w:ascii="color:#333333;" w:hAnsi="color:#333333;" w:eastAsia="color:#333333;" w:cs="color:#333333;"/>
          <w:kern w:val="0"/>
          <w:sz w:val="24"/>
          <w:szCs w:val="24"/>
          <w:bdr w:val="none" w:color="auto" w:sz="0" w:space="0"/>
          <w:lang w:val="en-US" w:eastAsia="zh-CN" w:bidi="ar"/>
        </w:rPr>
        <w:t>促进人口均衡发展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default" w:ascii="color:#333333;" w:hAnsi="color:#333333;" w:eastAsia="color:#333333;" w:cs="color:#333333;"/>
          <w:kern w:val="0"/>
          <w:sz w:val="24"/>
          <w:szCs w:val="24"/>
          <w:bdr w:val="none" w:color="auto" w:sz="0" w:space="0"/>
          <w:lang w:val="en-US" w:eastAsia="zh-CN" w:bidi="ar"/>
        </w:rPr>
        <w:t>做好全生命周期养老准备。坚持计划生育基本国策，全面实施一对夫妇可生育两个孩子政策。改革完善计划生育服务管理。做好相关经济社会政策与全面两孩政策的有效衔接。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default" w:ascii="color:#333333;" w:hAnsi="color:#333333;" w:eastAsia="color:#333333;" w:cs="color:#333333;"/>
          <w:kern w:val="0"/>
          <w:sz w:val="24"/>
          <w:szCs w:val="24"/>
          <w:bdr w:val="none" w:color="auto" w:sz="0" w:space="0"/>
          <w:lang w:val="en-US" w:eastAsia="zh-CN" w:bidi="ar"/>
        </w:rPr>
        <w:t>完善人口发展战略，建立健全人口与发展综合决策机制。综合应对劳动年龄人口下降，落实渐进式延迟退休年龄政策。开展重大经济社会政策人口影响评估，健全人口动态监测机制。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2"/>
        <w:jc w:val="center"/>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2"/>
        <w:jc w:val="center"/>
      </w:pPr>
      <w:r>
        <w:rPr>
          <w:rFonts w:hint="default" w:ascii="color:#333333;" w:hAnsi="color:#333333;" w:eastAsia="color:#333333;" w:cs="color:#333333;"/>
          <w:b/>
          <w:kern w:val="0"/>
          <w:sz w:val="24"/>
          <w:szCs w:val="24"/>
          <w:bdr w:val="none" w:color="auto" w:sz="0" w:space="0"/>
          <w:lang w:val="en-US" w:eastAsia="zh-CN" w:bidi="ar"/>
        </w:rPr>
        <w:t>第九章</w:t>
      </w:r>
      <w:r>
        <w:rPr>
          <w:rFonts w:hint="eastAsia" w:ascii="宋体" w:hAnsi="宋体" w:eastAsia="宋体" w:cs="宋体"/>
          <w:b/>
          <w:color w:val="333333"/>
          <w:kern w:val="0"/>
          <w:sz w:val="24"/>
          <w:szCs w:val="24"/>
          <w:bdr w:val="none" w:color="auto" w:sz="0" w:space="0"/>
          <w:lang w:val="en-US" w:eastAsia="zh-CN" w:bidi="ar"/>
        </w:rPr>
        <w:t> </w:t>
      </w:r>
      <w:r>
        <w:rPr>
          <w:rFonts w:hint="default" w:ascii="color:#333333;" w:hAnsi="color:#333333;" w:eastAsia="color:#333333;" w:cs="color:#333333;"/>
          <w:b/>
          <w:kern w:val="0"/>
          <w:sz w:val="24"/>
          <w:szCs w:val="24"/>
          <w:bdr w:val="none" w:color="auto" w:sz="0" w:space="0"/>
          <w:lang w:val="en-US" w:eastAsia="zh-CN" w:bidi="ar"/>
        </w:rPr>
        <w:t> 扩大老年人社会参与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pPr>
      <w:r>
        <w:rPr>
          <w:rFonts w:hint="default" w:ascii="color:#333333;" w:hAnsi="color:#333333;" w:eastAsia="color:#333333;" w:cs="color:#333333;"/>
          <w:kern w:val="0"/>
          <w:sz w:val="24"/>
          <w:szCs w:val="24"/>
          <w:bdr w:val="none" w:color="auto" w:sz="0" w:space="0"/>
          <w:lang w:val="en-US" w:eastAsia="zh-CN" w:bidi="ar"/>
        </w:rPr>
        <w:t>第一节</w:t>
      </w:r>
      <w:r>
        <w:rPr>
          <w:rFonts w:hint="eastAsia" w:ascii="宋体" w:hAnsi="宋体" w:eastAsia="宋体" w:cs="宋体"/>
          <w:color w:val="333333"/>
          <w:kern w:val="0"/>
          <w:sz w:val="24"/>
          <w:szCs w:val="24"/>
          <w:bdr w:val="none" w:color="auto" w:sz="0" w:space="0"/>
          <w:lang w:val="en-US" w:eastAsia="zh-CN" w:bidi="ar"/>
        </w:rPr>
        <w:t>  </w:t>
      </w:r>
      <w:r>
        <w:rPr>
          <w:rFonts w:hint="default" w:ascii="color:#333333;" w:hAnsi="color:#333333;" w:eastAsia="color:#333333;" w:cs="color:#333333;"/>
          <w:kern w:val="0"/>
          <w:sz w:val="24"/>
          <w:szCs w:val="24"/>
          <w:bdr w:val="none" w:color="auto" w:sz="0" w:space="0"/>
          <w:lang w:val="en-US" w:eastAsia="zh-CN" w:bidi="ar"/>
        </w:rPr>
        <w:t>培育积极老龄观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default" w:ascii="color:#333333;" w:hAnsi="color:#333333;" w:eastAsia="color:#333333;" w:cs="color:#333333;"/>
          <w:kern w:val="0"/>
          <w:sz w:val="24"/>
          <w:szCs w:val="24"/>
          <w:bdr w:val="none" w:color="auto" w:sz="0" w:space="0"/>
          <w:lang w:val="en-US" w:eastAsia="zh-CN" w:bidi="ar"/>
        </w:rPr>
        <w:t>引导老年人树立终身发展理念，始终保持自尊自爱自信自强的精神状态，积极面对老年生活，参与社会发展，发挥正能量，作出新贡献。引导全社会正确认识、积极接纳、大力支持老年人参与社会发展。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pPr>
      <w:r>
        <w:rPr>
          <w:rFonts w:hint="default" w:ascii="color:#333333;" w:hAnsi="color:#333333;" w:eastAsia="color:#333333;" w:cs="color:#333333;"/>
          <w:kern w:val="0"/>
          <w:sz w:val="24"/>
          <w:szCs w:val="24"/>
          <w:bdr w:val="none" w:color="auto" w:sz="0" w:space="0"/>
          <w:lang w:val="en-US" w:eastAsia="zh-CN" w:bidi="ar"/>
        </w:rPr>
        <w:t>第二节</w:t>
      </w:r>
      <w:r>
        <w:rPr>
          <w:rFonts w:hint="eastAsia" w:ascii="宋体" w:hAnsi="宋体" w:eastAsia="宋体" w:cs="宋体"/>
          <w:color w:val="333333"/>
          <w:kern w:val="0"/>
          <w:sz w:val="24"/>
          <w:szCs w:val="24"/>
          <w:bdr w:val="none" w:color="auto" w:sz="0" w:space="0"/>
          <w:lang w:val="en-US" w:eastAsia="zh-CN" w:bidi="ar"/>
        </w:rPr>
        <w:t>  </w:t>
      </w:r>
      <w:r>
        <w:rPr>
          <w:rFonts w:hint="default" w:ascii="color:#333333;" w:hAnsi="color:#333333;" w:eastAsia="color:#333333;" w:cs="color:#333333;"/>
          <w:kern w:val="0"/>
          <w:sz w:val="24"/>
          <w:szCs w:val="24"/>
          <w:bdr w:val="none" w:color="auto" w:sz="0" w:space="0"/>
          <w:lang w:val="en-US" w:eastAsia="zh-CN" w:bidi="ar"/>
        </w:rPr>
        <w:t>加强老年人力资源开发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default" w:ascii="color:#333333;" w:hAnsi="color:#333333;" w:eastAsia="color:#333333;" w:cs="color:#333333;"/>
          <w:kern w:val="0"/>
          <w:sz w:val="24"/>
          <w:szCs w:val="24"/>
          <w:bdr w:val="none" w:color="auto" w:sz="0" w:space="0"/>
          <w:lang w:val="en-US" w:eastAsia="zh-CN" w:bidi="ar"/>
        </w:rPr>
        <w:t>将老年人才开发利用纳入各级人才队伍建设总体规划，鼓励各地制定老年人才开发利用专项规划。鼓励专业技术领域人才延长工作年限。鼓励各有关方面建立老年人专业人才库，实现互联互通、资源共享，为老年人参与社会发展创造条件。支持老年人才自主创业，帮助有意愿且身体状况允许的贫困老年人和其他老年人接受岗位技能培训或农业实用技术培训，通过劳动脱贫或致富。推动用人单位与受聘老年人依法签订书面协议。依法保障老年人在生产劳动过程中的合法收入、安全和健康权益，不得因老年人参加其他社会活动获得报酬而扣减其养老金或者福利待遇。相关单位对老有所为贡献突出的老年人和在老有所为工作中贡献突出的单位、个人，可按规定给予表彰或奖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pPr>
      <w:r>
        <w:rPr>
          <w:rFonts w:hint="default" w:ascii="color:#333333;" w:hAnsi="color:#333333;" w:eastAsia="color:#333333;" w:cs="color:#333333;"/>
          <w:kern w:val="0"/>
          <w:sz w:val="24"/>
          <w:szCs w:val="24"/>
          <w:bdr w:val="none" w:color="auto" w:sz="0" w:space="0"/>
          <w:lang w:val="en-US" w:eastAsia="zh-CN" w:bidi="ar"/>
        </w:rPr>
        <w:t>第三节</w:t>
      </w:r>
      <w:r>
        <w:rPr>
          <w:rFonts w:hint="eastAsia" w:ascii="宋体" w:hAnsi="宋体" w:eastAsia="宋体" w:cs="宋体"/>
          <w:color w:val="333333"/>
          <w:kern w:val="0"/>
          <w:sz w:val="24"/>
          <w:szCs w:val="24"/>
          <w:bdr w:val="none" w:color="auto" w:sz="0" w:space="0"/>
          <w:lang w:val="en-US" w:eastAsia="zh-CN" w:bidi="ar"/>
        </w:rPr>
        <w:t>  </w:t>
      </w:r>
      <w:r>
        <w:rPr>
          <w:rFonts w:hint="default" w:ascii="color:#333333;" w:hAnsi="color:#333333;" w:eastAsia="color:#333333;" w:cs="color:#333333;"/>
          <w:kern w:val="0"/>
          <w:sz w:val="24"/>
          <w:szCs w:val="24"/>
          <w:bdr w:val="none" w:color="auto" w:sz="0" w:space="0"/>
          <w:lang w:val="en-US" w:eastAsia="zh-CN" w:bidi="ar"/>
        </w:rPr>
        <w:t>发展老年志愿服务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default" w:ascii="color:#333333;" w:hAnsi="color:#333333;" w:eastAsia="color:#333333;" w:cs="color:#333333;"/>
          <w:kern w:val="0"/>
          <w:sz w:val="24"/>
          <w:szCs w:val="24"/>
          <w:bdr w:val="none" w:color="auto" w:sz="0" w:space="0"/>
          <w:lang w:val="en-US" w:eastAsia="zh-CN" w:bidi="ar"/>
        </w:rPr>
        <w:t>支持老年人积极参与基层民主监督、社会治安、城市治理、公益慈善、移风易俗、民事调解、文教卫生、全民健身等工作。发挥老年人优良品行对社会成员的言传身教作用，发挥老年人在化解社会矛盾和维护社会稳定中的经验、威望优势，支持老党员、老专家、老军人、老劳模、老干部开展关心教育下一代活动。深入开展“银龄志愿行动”。鼓励老年人参加志愿服务，推行志愿服务记录制度，到</w:t>
      </w:r>
      <w:r>
        <w:rPr>
          <w:rFonts w:hint="eastAsia" w:ascii="宋体" w:hAnsi="宋体" w:eastAsia="宋体" w:cs="宋体"/>
          <w:color w:val="333333"/>
          <w:kern w:val="0"/>
          <w:sz w:val="24"/>
          <w:szCs w:val="24"/>
          <w:bdr w:val="none" w:color="auto" w:sz="0" w:space="0"/>
          <w:lang w:val="en-US" w:eastAsia="zh-CN" w:bidi="ar"/>
        </w:rPr>
        <w:t>2020</w:t>
      </w:r>
      <w:r>
        <w:rPr>
          <w:rFonts w:hint="default" w:ascii="color:#333333;" w:hAnsi="color:#333333;" w:eastAsia="color:#333333;" w:cs="color:#333333;"/>
          <w:kern w:val="0"/>
          <w:sz w:val="24"/>
          <w:szCs w:val="24"/>
          <w:bdr w:val="none" w:color="auto" w:sz="0" w:space="0"/>
          <w:lang w:val="en-US" w:eastAsia="zh-CN" w:bidi="ar"/>
        </w:rPr>
        <w:t>年，老年志愿者注册人数达到老年人口总数的</w:t>
      </w:r>
      <w:r>
        <w:rPr>
          <w:rFonts w:hint="eastAsia" w:ascii="宋体" w:hAnsi="宋体" w:eastAsia="宋体" w:cs="宋体"/>
          <w:color w:val="333333"/>
          <w:kern w:val="0"/>
          <w:sz w:val="24"/>
          <w:szCs w:val="24"/>
          <w:bdr w:val="none" w:color="auto" w:sz="0" w:space="0"/>
          <w:lang w:val="en-US" w:eastAsia="zh-CN" w:bidi="ar"/>
        </w:rPr>
        <w:t>15%</w:t>
      </w:r>
      <w:r>
        <w:rPr>
          <w:rFonts w:hint="default" w:ascii="color:#333333;" w:hAnsi="color:#333333;" w:eastAsia="color:#333333;" w:cs="color:#333333;"/>
          <w:kern w:val="0"/>
          <w:sz w:val="24"/>
          <w:szCs w:val="24"/>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asciiTheme="minorHAnsi" w:hAnsiTheme="minorHAnsi" w:eastAsiaTheme="minorEastAsia" w:cstheme="minorBidi"/>
          <w:kern w:val="0"/>
          <w:sz w:val="24"/>
          <w:szCs w:val="24"/>
          <w:bdr w:val="none" w:color="auto" w:sz="0" w:space="0"/>
          <w:lang w:val="en-US" w:eastAsia="zh-CN" w:bidi="ar"/>
        </w:rPr>
        <w:t> </w:t>
      </w:r>
    </w:p>
    <w:tbl>
      <w:tblPr>
        <w:tblW w:w="8306" w:type="dxa"/>
        <w:jc w:val="center"/>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jc w:val="center"/>
        </w:trPr>
        <w:tc>
          <w:tcPr>
            <w:tcW w:w="830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pPr>
            <w:r>
              <w:rPr>
                <w:rFonts w:hint="default" w:ascii="color:#333333;" w:hAnsi="color:#333333;" w:eastAsia="color:#333333;" w:cs="color:#333333;"/>
                <w:color w:val="333333"/>
                <w:kern w:val="0"/>
                <w:sz w:val="24"/>
                <w:szCs w:val="24"/>
                <w:bdr w:val="none" w:color="auto" w:sz="0" w:space="0"/>
                <w:lang w:val="en-US" w:eastAsia="zh-CN" w:bidi="ar"/>
              </w:rPr>
              <w:t>专栏</w:t>
            </w:r>
            <w:r>
              <w:rPr>
                <w:rFonts w:hint="eastAsia" w:ascii="宋体" w:hAnsi="宋体" w:eastAsia="宋体" w:cs="宋体"/>
                <w:color w:val="333333"/>
                <w:kern w:val="0"/>
                <w:sz w:val="24"/>
                <w:szCs w:val="24"/>
                <w:bdr w:val="none" w:color="auto" w:sz="0" w:space="0"/>
                <w:lang w:val="en-US" w:eastAsia="zh-CN" w:bidi="ar"/>
              </w:rPr>
              <w:t>10  </w:t>
            </w:r>
            <w:r>
              <w:rPr>
                <w:rFonts w:hint="default" w:ascii="color:#333333;" w:hAnsi="color:#333333;" w:eastAsia="color:#333333;" w:cs="color:#333333;"/>
                <w:color w:val="333333"/>
                <w:kern w:val="0"/>
                <w:sz w:val="24"/>
                <w:szCs w:val="24"/>
                <w:bdr w:val="none" w:color="auto" w:sz="0" w:space="0"/>
                <w:lang w:val="en-US" w:eastAsia="zh-CN" w:bidi="ar"/>
              </w:rPr>
              <w:t>银龄志愿行动</w:t>
            </w:r>
          </w:p>
        </w:tc>
      </w:tr>
      <w:tr>
        <w:tblPrEx>
          <w:tblLayout w:type="fixed"/>
          <w:tblCellMar>
            <w:top w:w="0" w:type="dxa"/>
            <w:left w:w="0" w:type="dxa"/>
            <w:bottom w:w="0" w:type="dxa"/>
            <w:right w:w="0" w:type="dxa"/>
          </w:tblCellMar>
        </w:tblPrEx>
        <w:trPr>
          <w:jc w:val="center"/>
        </w:trPr>
        <w:tc>
          <w:tcPr>
            <w:tcW w:w="8306"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left"/>
            </w:pPr>
            <w:r>
              <w:rPr>
                <w:rFonts w:hint="default" w:ascii="color:#333333;" w:hAnsi="color:#333333;" w:eastAsia="color:#333333;" w:cs="color:#333333;"/>
                <w:color w:val="333333"/>
                <w:kern w:val="0"/>
                <w:sz w:val="24"/>
                <w:szCs w:val="24"/>
                <w:bdr w:val="none" w:color="auto" w:sz="0" w:space="0"/>
                <w:lang w:val="en-US" w:eastAsia="zh-CN" w:bidi="ar"/>
              </w:rPr>
              <w:t>继续组织医疗卫生、文化教育、农业科技等方面的老年专业人才参加援助困难地区的志愿行动。不断创新援助方式，从城市间援助到城乡互助、从知识技能支持到资金项目帮助、从有形援助到网络援助，不断扩大影响力。</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560" w:right="0" w:hanging="1080"/>
        <w:jc w:val="center"/>
      </w:pPr>
      <w:r>
        <w:rPr>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560" w:right="0" w:hanging="1080"/>
        <w:jc w:val="center"/>
      </w:pPr>
      <w:r>
        <w:rPr>
          <w:rFonts w:hint="default" w:ascii="color:#333333;" w:hAnsi="color:#333333;" w:eastAsia="color:#333333;" w:cs="color:#333333;"/>
          <w:sz w:val="24"/>
          <w:szCs w:val="24"/>
          <w:bdr w:val="none" w:color="auto" w:sz="0" w:space="0"/>
        </w:rPr>
        <w:t>第四节     引导基层老年社会组织规范发展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default" w:ascii="color:#333333;" w:hAnsi="color:#333333;" w:eastAsia="color:#333333;" w:cs="color:#333333;"/>
          <w:kern w:val="0"/>
          <w:sz w:val="24"/>
          <w:szCs w:val="24"/>
          <w:bdr w:val="none" w:color="auto" w:sz="0" w:space="0"/>
          <w:lang w:val="en-US" w:eastAsia="zh-CN" w:bidi="ar"/>
        </w:rPr>
        <w:t>坚持扶持发展和规范管理并重，加强老年社会组织的培育扶持和登记管理。采取政府购买服务等措施加大对公益性、互助性、服务性、专业性基层老年社会组织的支持力度。继续推动老年社会组织加强能力建设和规范化建设，提高专业素质、服务能力和社会公信力，促进老年人通过社会组织实现自我管理、自我教育、自我服务和服务社会。支持老年社会组织参加或承办政府有关人才培养、项目开发、课题研究、咨询服务等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eastAsia" w:ascii="宋体" w:hAnsi="宋体" w:eastAsia="宋体" w:cs="宋体"/>
          <w:color w:val="333333"/>
          <w:kern w:val="0"/>
          <w:sz w:val="24"/>
          <w:szCs w:val="24"/>
          <w:bdr w:val="none" w:color="auto" w:sz="0" w:space="0"/>
          <w:lang w:val="en-US" w:eastAsia="zh-CN" w:bidi="ar"/>
        </w:rPr>
        <w:t> </w:t>
      </w:r>
    </w:p>
    <w:tbl>
      <w:tblPr>
        <w:tblW w:w="8306" w:type="dxa"/>
        <w:jc w:val="center"/>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jc w:val="center"/>
        </w:trPr>
        <w:tc>
          <w:tcPr>
            <w:tcW w:w="830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pPr>
            <w:r>
              <w:rPr>
                <w:rFonts w:hint="default" w:ascii="color:#333333;" w:hAnsi="color:#333333;" w:eastAsia="color:#333333;" w:cs="color:#333333;"/>
                <w:color w:val="333333"/>
                <w:kern w:val="0"/>
                <w:sz w:val="24"/>
                <w:szCs w:val="24"/>
                <w:bdr w:val="none" w:color="auto" w:sz="0" w:space="0"/>
                <w:lang w:val="en-US" w:eastAsia="zh-CN" w:bidi="ar"/>
              </w:rPr>
              <w:t>专栏</w:t>
            </w:r>
            <w:r>
              <w:rPr>
                <w:rFonts w:hint="eastAsia" w:ascii="宋体" w:hAnsi="宋体" w:eastAsia="宋体" w:cs="宋体"/>
                <w:color w:val="333333"/>
                <w:kern w:val="0"/>
                <w:sz w:val="24"/>
                <w:szCs w:val="24"/>
                <w:bdr w:val="none" w:color="auto" w:sz="0" w:space="0"/>
                <w:lang w:val="en-US" w:eastAsia="zh-CN" w:bidi="ar"/>
              </w:rPr>
              <w:t>11  </w:t>
            </w:r>
            <w:r>
              <w:rPr>
                <w:rFonts w:hint="default" w:ascii="color:#333333;" w:hAnsi="color:#333333;" w:eastAsia="color:#333333;" w:cs="color:#333333;"/>
                <w:color w:val="333333"/>
                <w:kern w:val="0"/>
                <w:sz w:val="24"/>
                <w:szCs w:val="24"/>
                <w:bdr w:val="none" w:color="auto" w:sz="0" w:space="0"/>
                <w:lang w:val="en-US" w:eastAsia="zh-CN" w:bidi="ar"/>
              </w:rPr>
              <w:t>基层老年协会规范化建设工程</w:t>
            </w:r>
          </w:p>
        </w:tc>
      </w:tr>
      <w:tr>
        <w:tblPrEx>
          <w:shd w:val="clear"/>
          <w:tblLayout w:type="fixed"/>
          <w:tblCellMar>
            <w:top w:w="0" w:type="dxa"/>
            <w:left w:w="0" w:type="dxa"/>
            <w:bottom w:w="0" w:type="dxa"/>
            <w:right w:w="0" w:type="dxa"/>
          </w:tblCellMar>
        </w:tblPrEx>
        <w:trPr>
          <w:jc w:val="center"/>
        </w:trPr>
        <w:tc>
          <w:tcPr>
            <w:tcW w:w="8306"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left"/>
            </w:pPr>
            <w:r>
              <w:rPr>
                <w:rFonts w:hint="default" w:ascii="color:#333333;" w:hAnsi="color:#333333;" w:eastAsia="color:#333333;" w:cs="color:#333333;"/>
                <w:color w:val="333333"/>
                <w:kern w:val="0"/>
                <w:sz w:val="24"/>
                <w:szCs w:val="24"/>
                <w:bdr w:val="none" w:color="auto" w:sz="0" w:space="0"/>
                <w:lang w:val="en-US" w:eastAsia="zh-CN" w:bidi="ar"/>
              </w:rPr>
              <w:t>强化村（居）两委对城乡社区基层老年协会的组织领导责任，健全协会组织机构和规章制度。多渠道筹措资金支持基层老年协会建设，改善基层老年协会活动设施和条件，加强基层老年协会骨干培训和活动辅导，鼓励专业人士在基层老年协会能力建设中发挥骨干作用。积极推进基层老年协会党建工作，依法组织老年人参与城乡社区建设和管理，参与维护社会治安、关心教育下一代、调节家庭纠纷、养老互助等事务。组织开展为老服务和老年互助活动，提供帮扶服务，解决实际问题。力求做到活动常态化、管理制度化和建设规范化。有计划有步骤地推进基层老年协会规范化建设，制定年度计划，力争</w:t>
            </w:r>
            <w:r>
              <w:rPr>
                <w:rFonts w:hint="eastAsia" w:ascii="宋体" w:hAnsi="宋体" w:eastAsia="宋体" w:cs="宋体"/>
                <w:color w:val="333333"/>
                <w:kern w:val="0"/>
                <w:sz w:val="24"/>
                <w:szCs w:val="24"/>
                <w:bdr w:val="none" w:color="auto" w:sz="0" w:space="0"/>
                <w:lang w:val="en-US" w:eastAsia="zh-CN" w:bidi="ar"/>
              </w:rPr>
              <w:t>2018</w:t>
            </w:r>
            <w:r>
              <w:rPr>
                <w:rFonts w:hint="default" w:ascii="color:#333333;" w:hAnsi="color:#333333;" w:eastAsia="color:#333333;" w:cs="color:#333333;"/>
                <w:color w:val="333333"/>
                <w:kern w:val="0"/>
                <w:sz w:val="24"/>
                <w:szCs w:val="24"/>
                <w:bdr w:val="none" w:color="auto" w:sz="0" w:space="0"/>
                <w:lang w:val="en-US" w:eastAsia="zh-CN" w:bidi="ar"/>
              </w:rPr>
              <w:t>年底前</w:t>
            </w:r>
            <w:r>
              <w:rPr>
                <w:rFonts w:hint="eastAsia" w:ascii="宋体" w:hAnsi="宋体" w:eastAsia="宋体" w:cs="宋体"/>
                <w:color w:val="333333"/>
                <w:kern w:val="0"/>
                <w:sz w:val="24"/>
                <w:szCs w:val="24"/>
                <w:bdr w:val="none" w:color="auto" w:sz="0" w:space="0"/>
                <w:lang w:val="en-US" w:eastAsia="zh-CN" w:bidi="ar"/>
              </w:rPr>
              <w:t>35%</w:t>
            </w:r>
            <w:r>
              <w:rPr>
                <w:rFonts w:hint="default" w:ascii="color:#333333;" w:hAnsi="color:#333333;" w:eastAsia="color:#333333;" w:cs="color:#333333;"/>
                <w:color w:val="333333"/>
                <w:kern w:val="0"/>
                <w:sz w:val="24"/>
                <w:szCs w:val="24"/>
                <w:bdr w:val="none" w:color="auto" w:sz="0" w:space="0"/>
                <w:lang w:val="en-US" w:eastAsia="zh-CN" w:bidi="ar"/>
              </w:rPr>
              <w:t>以上、“十三五”末</w:t>
            </w:r>
            <w:r>
              <w:rPr>
                <w:rFonts w:hint="eastAsia" w:ascii="宋体" w:hAnsi="宋体" w:eastAsia="宋体" w:cs="宋体"/>
                <w:color w:val="333333"/>
                <w:kern w:val="0"/>
                <w:sz w:val="24"/>
                <w:szCs w:val="24"/>
                <w:bdr w:val="none" w:color="auto" w:sz="0" w:space="0"/>
                <w:lang w:val="en-US" w:eastAsia="zh-CN" w:bidi="ar"/>
              </w:rPr>
              <w:t>60%</w:t>
            </w:r>
            <w:r>
              <w:rPr>
                <w:rFonts w:hint="default" w:ascii="color:#333333;" w:hAnsi="color:#333333;" w:eastAsia="color:#333333;" w:cs="color:#333333;"/>
                <w:color w:val="333333"/>
                <w:kern w:val="0"/>
                <w:sz w:val="24"/>
                <w:szCs w:val="24"/>
                <w:bdr w:val="none" w:color="auto" w:sz="0" w:space="0"/>
                <w:lang w:val="en-US" w:eastAsia="zh-CN" w:bidi="ar"/>
              </w:rPr>
              <w:t>以上的基层老年协会符合规范化建设标准。</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2"/>
        <w:jc w:val="center"/>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2"/>
        <w:jc w:val="center"/>
      </w:pPr>
      <w:r>
        <w:rPr>
          <w:rFonts w:hint="default" w:ascii="color:#333333;" w:hAnsi="color:#333333;" w:eastAsia="color:#333333;" w:cs="color:#333333;"/>
          <w:b/>
          <w:kern w:val="0"/>
          <w:sz w:val="24"/>
          <w:szCs w:val="24"/>
          <w:bdr w:val="none" w:color="auto" w:sz="0" w:space="0"/>
          <w:lang w:val="en-US" w:eastAsia="zh-CN" w:bidi="ar"/>
        </w:rPr>
        <w:t>第十章</w:t>
      </w:r>
      <w:r>
        <w:rPr>
          <w:rFonts w:hint="eastAsia" w:ascii="宋体" w:hAnsi="宋体" w:eastAsia="宋体" w:cs="宋体"/>
          <w:b/>
          <w:color w:val="333333"/>
          <w:kern w:val="0"/>
          <w:sz w:val="24"/>
          <w:szCs w:val="24"/>
          <w:bdr w:val="none" w:color="auto" w:sz="0" w:space="0"/>
          <w:lang w:val="en-US" w:eastAsia="zh-CN" w:bidi="ar"/>
        </w:rPr>
        <w:t> </w:t>
      </w:r>
      <w:r>
        <w:rPr>
          <w:rFonts w:hint="default" w:ascii="color:#333333;" w:hAnsi="color:#333333;" w:eastAsia="color:#333333;" w:cs="color:#333333;"/>
          <w:b/>
          <w:kern w:val="0"/>
          <w:sz w:val="24"/>
          <w:szCs w:val="24"/>
          <w:bdr w:val="none" w:color="auto" w:sz="0" w:space="0"/>
          <w:lang w:val="en-US" w:eastAsia="zh-CN" w:bidi="ar"/>
        </w:rPr>
        <w:t> 保障老年人合法权益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pPr>
      <w:r>
        <w:rPr>
          <w:rFonts w:hint="default" w:ascii="color:#333333;" w:hAnsi="color:#333333;" w:eastAsia="color:#333333;" w:cs="color:#333333;"/>
          <w:kern w:val="0"/>
          <w:sz w:val="24"/>
          <w:szCs w:val="24"/>
          <w:bdr w:val="none" w:color="auto" w:sz="0" w:space="0"/>
          <w:lang w:val="en-US" w:eastAsia="zh-CN" w:bidi="ar"/>
        </w:rPr>
        <w:t>第一节</w:t>
      </w:r>
      <w:r>
        <w:rPr>
          <w:rFonts w:hint="eastAsia" w:ascii="宋体" w:hAnsi="宋体" w:eastAsia="宋体" w:cs="宋体"/>
          <w:color w:val="333333"/>
          <w:kern w:val="0"/>
          <w:sz w:val="24"/>
          <w:szCs w:val="24"/>
          <w:bdr w:val="none" w:color="auto" w:sz="0" w:space="0"/>
          <w:lang w:val="en-US" w:eastAsia="zh-CN" w:bidi="ar"/>
        </w:rPr>
        <w:t>  </w:t>
      </w:r>
      <w:r>
        <w:rPr>
          <w:rFonts w:hint="default" w:ascii="color:#333333;" w:hAnsi="color:#333333;" w:eastAsia="color:#333333;" w:cs="color:#333333;"/>
          <w:kern w:val="0"/>
          <w:sz w:val="24"/>
          <w:szCs w:val="24"/>
          <w:bdr w:val="none" w:color="auto" w:sz="0" w:space="0"/>
          <w:lang w:val="en-US" w:eastAsia="zh-CN" w:bidi="ar"/>
        </w:rPr>
        <w:t>完善老龄事业法规政策体系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default" w:ascii="color:#333333;" w:hAnsi="color:#333333;" w:eastAsia="color:#333333;" w:cs="color:#333333;"/>
          <w:kern w:val="0"/>
          <w:sz w:val="24"/>
          <w:szCs w:val="24"/>
          <w:bdr w:val="none" w:color="auto" w:sz="0" w:space="0"/>
          <w:lang w:val="en-US" w:eastAsia="zh-CN" w:bidi="ar"/>
        </w:rPr>
        <w:t>宣传贯彻落实《安徽省实施〈中华人民共和国老年人权益保障法〉办法》，积极听取社会各界尤其是老年人的意见建议，完善配套政策法规，统筹生育、就业、退休、养老等政策。研究建立老年人监护制度，加快老年人家庭赡养和扶养、社会救助、社会福利、社会优待、宜居环境、社会参与等政策，增强政策制度的针对性、协调性、系统性。健全优待老年人的财政投入、服务评价、检查监督、奖励表彰等政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pPr>
      <w:r>
        <w:rPr>
          <w:rFonts w:hint="default" w:ascii="color:#333333;" w:hAnsi="color:#333333;" w:eastAsia="color:#333333;" w:cs="color:#333333;"/>
          <w:kern w:val="0"/>
          <w:sz w:val="24"/>
          <w:szCs w:val="24"/>
          <w:bdr w:val="none" w:color="auto" w:sz="0" w:space="0"/>
          <w:lang w:val="en-US" w:eastAsia="zh-CN" w:bidi="ar"/>
        </w:rPr>
        <w:t>第二节</w:t>
      </w:r>
      <w:r>
        <w:rPr>
          <w:rFonts w:hint="eastAsia" w:ascii="宋体" w:hAnsi="宋体" w:eastAsia="宋体" w:cs="宋体"/>
          <w:color w:val="333333"/>
          <w:kern w:val="0"/>
          <w:sz w:val="24"/>
          <w:szCs w:val="24"/>
          <w:bdr w:val="none" w:color="auto" w:sz="0" w:space="0"/>
          <w:lang w:val="en-US" w:eastAsia="zh-CN" w:bidi="ar"/>
        </w:rPr>
        <w:t>  </w:t>
      </w:r>
      <w:r>
        <w:rPr>
          <w:rFonts w:hint="default" w:ascii="color:#333333;" w:hAnsi="color:#333333;" w:eastAsia="color:#333333;" w:cs="color:#333333;"/>
          <w:kern w:val="0"/>
          <w:sz w:val="24"/>
          <w:szCs w:val="24"/>
          <w:bdr w:val="none" w:color="auto" w:sz="0" w:space="0"/>
          <w:lang w:val="en-US" w:eastAsia="zh-CN" w:bidi="ar"/>
        </w:rPr>
        <w:t>健全老年人权益保障机制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default" w:ascii="color:#333333;" w:hAnsi="color:#333333;" w:eastAsia="color:#333333;" w:cs="color:#333333;"/>
          <w:kern w:val="0"/>
          <w:sz w:val="24"/>
          <w:szCs w:val="24"/>
          <w:bdr w:val="none" w:color="auto" w:sz="0" w:space="0"/>
          <w:lang w:val="en-US" w:eastAsia="zh-CN" w:bidi="ar"/>
        </w:rPr>
        <w:t>健全贯彻老年人权益保障法律法规的联合执法、执法检查、综合评估等制度。充分发挥基层党组织、基层群众性自治组织、老年社会组织作用，完善维护老年人合法权益社会监督、矛盾纠纷排查调解、多部门快速反应联合查处综合治理等机制。做好信访工作，建立健全信息反馈和监督机制。探索建立老年人法律维权热线，加强老年人法律服务和法律援助，针对老年群体特点开展适应老年人特殊需求的专项法律服务活动。扩大老年人法律援助范围，拓展基层服务网络，推进法律援助工作站点向城市社区和农村延伸，方便老年人及时就近寻求法律帮助。重点做好农村和贫困、高龄、空巢、独居、失能等特殊困难老年群体的法律服务、法律援助和司法救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pPr>
      <w:r>
        <w:rPr>
          <w:rFonts w:hint="default" w:ascii="color:#333333;" w:hAnsi="color:#333333;" w:eastAsia="color:#333333;" w:cs="color:#333333;"/>
          <w:kern w:val="0"/>
          <w:sz w:val="24"/>
          <w:szCs w:val="24"/>
          <w:bdr w:val="none" w:color="auto" w:sz="0" w:space="0"/>
          <w:lang w:val="en-US" w:eastAsia="zh-CN" w:bidi="ar"/>
        </w:rPr>
        <w:t>第三节</w:t>
      </w:r>
      <w:r>
        <w:rPr>
          <w:rFonts w:hint="eastAsia" w:ascii="宋体" w:hAnsi="宋体" w:eastAsia="宋体" w:cs="宋体"/>
          <w:color w:val="333333"/>
          <w:kern w:val="0"/>
          <w:sz w:val="24"/>
          <w:szCs w:val="24"/>
          <w:bdr w:val="none" w:color="auto" w:sz="0" w:space="0"/>
          <w:lang w:val="en-US" w:eastAsia="zh-CN" w:bidi="ar"/>
        </w:rPr>
        <w:t>  </w:t>
      </w:r>
      <w:r>
        <w:rPr>
          <w:rFonts w:hint="default" w:ascii="color:#333333;" w:hAnsi="color:#333333;" w:eastAsia="color:#333333;" w:cs="color:#333333;"/>
          <w:kern w:val="0"/>
          <w:sz w:val="24"/>
          <w:szCs w:val="24"/>
          <w:bdr w:val="none" w:color="auto" w:sz="0" w:space="0"/>
          <w:lang w:val="en-US" w:eastAsia="zh-CN" w:bidi="ar"/>
        </w:rPr>
        <w:t>加大普法宣传教育力度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default" w:ascii="color:#333333;" w:hAnsi="color:#333333;" w:eastAsia="color:#333333;" w:cs="color:#333333;"/>
          <w:kern w:val="0"/>
          <w:sz w:val="24"/>
          <w:szCs w:val="24"/>
          <w:bdr w:val="none" w:color="auto" w:sz="0" w:space="0"/>
          <w:lang w:val="en-US" w:eastAsia="zh-CN" w:bidi="ar"/>
        </w:rPr>
        <w:t>落实国家、省“七五”普法规划要求，加强老年人权益保障法律法规普法宣传教育，深入结合“法律六进”活动，鼓励报刊、广播、电影、电视、网络等开展维护老年人合法权益的公益宣传。推动普法宣传教育规范化、常态化，强化全社会维护老年人合法权益的法治观念。开展更多适合老年人的法治宣传活动，帮助老年人学法、懂法、用法，提高守法意识和依法维权意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2"/>
        <w:jc w:val="center"/>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2"/>
        <w:jc w:val="center"/>
      </w:pPr>
      <w:r>
        <w:rPr>
          <w:rFonts w:hint="default" w:ascii="color:#333333;" w:hAnsi="color:#333333;" w:eastAsia="color:#333333;" w:cs="color:#333333;"/>
          <w:b/>
          <w:kern w:val="0"/>
          <w:sz w:val="24"/>
          <w:szCs w:val="24"/>
          <w:bdr w:val="none" w:color="auto" w:sz="0" w:space="0"/>
          <w:lang w:val="en-US" w:eastAsia="zh-CN" w:bidi="ar"/>
        </w:rPr>
        <w:t>第十一章</w:t>
      </w:r>
      <w:r>
        <w:rPr>
          <w:rFonts w:hint="eastAsia" w:ascii="宋体" w:hAnsi="宋体" w:eastAsia="宋体" w:cs="宋体"/>
          <w:b/>
          <w:color w:val="333333"/>
          <w:kern w:val="0"/>
          <w:sz w:val="24"/>
          <w:szCs w:val="24"/>
          <w:bdr w:val="none" w:color="auto" w:sz="0" w:space="0"/>
          <w:lang w:val="en-US" w:eastAsia="zh-CN" w:bidi="ar"/>
        </w:rPr>
        <w:t> </w:t>
      </w:r>
      <w:r>
        <w:rPr>
          <w:rFonts w:hint="default" w:ascii="color:#333333;" w:hAnsi="color:#333333;" w:eastAsia="color:#333333;" w:cs="color:#333333;"/>
          <w:b/>
          <w:kern w:val="0"/>
          <w:sz w:val="24"/>
          <w:szCs w:val="24"/>
          <w:bdr w:val="none" w:color="auto" w:sz="0" w:space="0"/>
          <w:lang w:val="en-US" w:eastAsia="zh-CN" w:bidi="ar"/>
        </w:rPr>
        <w:t> 强化工作基础和规划实施保障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pPr>
      <w:r>
        <w:rPr>
          <w:rFonts w:hint="default" w:ascii="color:#333333;" w:hAnsi="color:#333333;" w:eastAsia="color:#333333;" w:cs="color:#333333;"/>
          <w:kern w:val="0"/>
          <w:sz w:val="24"/>
          <w:szCs w:val="24"/>
          <w:bdr w:val="none" w:color="auto" w:sz="0" w:space="0"/>
          <w:lang w:val="en-US" w:eastAsia="zh-CN" w:bidi="ar"/>
        </w:rPr>
        <w:t>第一节</w:t>
      </w:r>
      <w:r>
        <w:rPr>
          <w:rFonts w:hint="eastAsia" w:ascii="宋体" w:hAnsi="宋体" w:eastAsia="宋体" w:cs="宋体"/>
          <w:color w:val="333333"/>
          <w:kern w:val="0"/>
          <w:sz w:val="24"/>
          <w:szCs w:val="24"/>
          <w:bdr w:val="none" w:color="auto" w:sz="0" w:space="0"/>
          <w:lang w:val="en-US" w:eastAsia="zh-CN" w:bidi="ar"/>
        </w:rPr>
        <w:t>  </w:t>
      </w:r>
      <w:r>
        <w:rPr>
          <w:rFonts w:hint="default" w:ascii="color:#333333;" w:hAnsi="color:#333333;" w:eastAsia="color:#333333;" w:cs="color:#333333;"/>
          <w:kern w:val="0"/>
          <w:sz w:val="24"/>
          <w:szCs w:val="24"/>
          <w:bdr w:val="none" w:color="auto" w:sz="0" w:space="0"/>
          <w:lang w:val="en-US" w:eastAsia="zh-CN" w:bidi="ar"/>
        </w:rPr>
        <w:t>强化工作基础保障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default" w:ascii="color:#333333;" w:hAnsi="color:#333333;" w:eastAsia="color:#333333;" w:cs="color:#333333;"/>
          <w:kern w:val="0"/>
          <w:sz w:val="24"/>
          <w:szCs w:val="24"/>
          <w:bdr w:val="none" w:color="auto" w:sz="0" w:space="0"/>
          <w:lang w:val="en-US" w:eastAsia="zh-CN" w:bidi="ar"/>
        </w:rPr>
        <w:t>推进信息化建设。落实促进大数据发展行动纲要，在切实保障数据安全的前提下，健全完善全省老龄基本信息库，拓展信息范围，增强信息准确度、适用性，建立信息发布、使用制度，为决策管理服务，推进信息共享。支持各地积极推进为老服务综合信息平台在城市社区全覆盖、在农村地区扩大覆盖，推进信息惠民服务向老年人覆盖、数据资源向社会开放，更好地服务于保障改善老年人民生和大众创业、万众创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eastAsia" w:ascii="宋体" w:hAnsi="宋体" w:eastAsia="宋体" w:cs="宋体"/>
          <w:color w:val="333333"/>
          <w:kern w:val="0"/>
          <w:sz w:val="24"/>
          <w:szCs w:val="24"/>
          <w:bdr w:val="none" w:color="auto" w:sz="0" w:space="0"/>
          <w:lang w:val="en-US" w:eastAsia="zh-CN" w:bidi="ar"/>
        </w:rPr>
        <w:t> </w:t>
      </w:r>
    </w:p>
    <w:tbl>
      <w:tblPr>
        <w:tblW w:w="8306" w:type="dxa"/>
        <w:jc w:val="center"/>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jc w:val="center"/>
        </w:trPr>
        <w:tc>
          <w:tcPr>
            <w:tcW w:w="830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pPr>
            <w:r>
              <w:rPr>
                <w:rFonts w:hint="default" w:ascii="color:#333333;" w:hAnsi="color:#333333;" w:eastAsia="color:#333333;" w:cs="color:#333333;"/>
                <w:color w:val="333333"/>
                <w:kern w:val="0"/>
                <w:sz w:val="24"/>
                <w:szCs w:val="24"/>
                <w:bdr w:val="none" w:color="auto" w:sz="0" w:space="0"/>
                <w:lang w:val="en-US" w:eastAsia="zh-CN" w:bidi="ar"/>
              </w:rPr>
              <w:t>专栏</w:t>
            </w:r>
            <w:r>
              <w:rPr>
                <w:rFonts w:hint="eastAsia" w:ascii="宋体" w:hAnsi="宋体" w:eastAsia="宋体" w:cs="宋体"/>
                <w:color w:val="333333"/>
                <w:kern w:val="0"/>
                <w:sz w:val="24"/>
                <w:szCs w:val="24"/>
                <w:bdr w:val="none" w:color="auto" w:sz="0" w:space="0"/>
                <w:lang w:val="en-US" w:eastAsia="zh-CN" w:bidi="ar"/>
              </w:rPr>
              <w:t>12  </w:t>
            </w:r>
            <w:r>
              <w:rPr>
                <w:rFonts w:hint="default" w:ascii="color:#333333;" w:hAnsi="color:#333333;" w:eastAsia="color:#333333;" w:cs="color:#333333;"/>
                <w:color w:val="333333"/>
                <w:kern w:val="0"/>
                <w:sz w:val="24"/>
                <w:szCs w:val="24"/>
                <w:bdr w:val="none" w:color="auto" w:sz="0" w:space="0"/>
                <w:lang w:val="en-US" w:eastAsia="zh-CN" w:bidi="ar"/>
              </w:rPr>
              <w:t>全省老龄基本信息库建设工程</w:t>
            </w:r>
          </w:p>
        </w:tc>
      </w:tr>
      <w:tr>
        <w:tblPrEx>
          <w:tblLayout w:type="fixed"/>
          <w:tblCellMar>
            <w:top w:w="0" w:type="dxa"/>
            <w:left w:w="0" w:type="dxa"/>
            <w:bottom w:w="0" w:type="dxa"/>
            <w:right w:w="0" w:type="dxa"/>
          </w:tblCellMar>
        </w:tblPrEx>
        <w:trPr>
          <w:jc w:val="center"/>
        </w:trPr>
        <w:tc>
          <w:tcPr>
            <w:tcW w:w="8306"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left"/>
            </w:pPr>
            <w:r>
              <w:rPr>
                <w:rFonts w:hint="default" w:ascii="color:#333333;" w:hAnsi="color:#333333;" w:eastAsia="color:#333333;" w:cs="color:#333333;"/>
                <w:color w:val="333333"/>
                <w:kern w:val="0"/>
                <w:sz w:val="24"/>
                <w:szCs w:val="24"/>
                <w:bdr w:val="none" w:color="auto" w:sz="0" w:space="0"/>
                <w:lang w:val="en-US" w:eastAsia="zh-CN" w:bidi="ar"/>
              </w:rPr>
              <w:t>完善老年人基本信息，建成覆盖城乡、精准到每一位老年人的全省老龄基本信息库。充实老年优待证管理、高龄津贴发放、老年维权、基层老年协会建设、老年人才、老年教育、老年文体活动等内容，整合涉及老年人的保障、服务、信用、财产等基础信息，实现各类信息互联互通，消除信息孤岛。以全省老龄基本信息库为依托，加强涉老数据、信息的汇集整合和发掘运用，建立基于大数据的可信统计分析决策机制。建立完善全省老龄基础数据年度发布制度。</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default" w:ascii="color:#333333;" w:hAnsi="color:#333333;" w:eastAsia="color:#333333;" w:cs="color:#333333;"/>
          <w:kern w:val="0"/>
          <w:sz w:val="24"/>
          <w:szCs w:val="24"/>
          <w:bdr w:val="none" w:color="auto" w:sz="0" w:space="0"/>
          <w:lang w:val="en-US" w:eastAsia="zh-CN" w:bidi="ar"/>
        </w:rPr>
        <w:t>完善投入机制。各级政府要根据经济社会发展状况和老年人口增长情况，建立与老龄事业发展水平相适应的投入机制。各级民政部门要将福利彩票公益金的</w:t>
      </w:r>
      <w:r>
        <w:rPr>
          <w:rFonts w:hint="eastAsia" w:ascii="宋体" w:hAnsi="宋体" w:eastAsia="宋体" w:cs="宋体"/>
          <w:color w:val="333333"/>
          <w:kern w:val="0"/>
          <w:sz w:val="24"/>
          <w:szCs w:val="24"/>
          <w:bdr w:val="none" w:color="auto" w:sz="0" w:space="0"/>
          <w:lang w:val="en-US" w:eastAsia="zh-CN" w:bidi="ar"/>
        </w:rPr>
        <w:t>50%</w:t>
      </w:r>
      <w:r>
        <w:rPr>
          <w:rFonts w:hint="default" w:ascii="color:#333333;" w:hAnsi="color:#333333;" w:eastAsia="color:#333333;" w:cs="color:#333333;"/>
          <w:kern w:val="0"/>
          <w:sz w:val="24"/>
          <w:szCs w:val="24"/>
          <w:bdr w:val="none" w:color="auto" w:sz="0" w:space="0"/>
          <w:lang w:val="en-US" w:eastAsia="zh-CN" w:bidi="ar"/>
        </w:rPr>
        <w:t>以上资金用于支持养老服务业，并随老年人口的增加逐步提高投入比例。落实和完善鼓励政策，引导各类社会资本投入老龄事业，倡导社会各界对老龄事业进行慈善捐赠，形成财政资金、社会资本、慈善基金等多元结合的投入机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default" w:ascii="color:#333333;" w:hAnsi="color:#333333;" w:eastAsia="color:#333333;" w:cs="color:#333333;"/>
          <w:kern w:val="0"/>
          <w:sz w:val="24"/>
          <w:szCs w:val="24"/>
          <w:bdr w:val="none" w:color="auto" w:sz="0" w:space="0"/>
          <w:lang w:val="en-US" w:eastAsia="zh-CN" w:bidi="ar"/>
        </w:rPr>
        <w:t>壮大人才队伍。县级以上人民政府要把养老服务人才培养纳入人才培养规划，推进涉老相关专业教育体系建设。鼓励支持高等院校、中等职业学校和职业培训机构设置相关专业或者培训项目，加快培养老年医学、康复、护理、营养、心理和社会工作、经营管理、康复辅助器具配置等人才。拓宽养老服务专业人员职业发展空间，完善以品德、能力和业绩为导向的职称评价和职业技能等级评价制度。有效推动各地保障和逐步提高养老服务从业人员薪酬待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asciiTheme="minorHAnsi" w:hAnsiTheme="minorHAnsi" w:eastAsiaTheme="minorEastAsia" w:cstheme="minorBidi"/>
          <w:kern w:val="0"/>
          <w:sz w:val="24"/>
          <w:szCs w:val="24"/>
          <w:bdr w:val="none" w:color="auto" w:sz="0" w:space="0"/>
          <w:lang w:val="en-US" w:eastAsia="zh-CN" w:bidi="ar"/>
        </w:rPr>
        <w:t> </w:t>
      </w:r>
    </w:p>
    <w:tbl>
      <w:tblPr>
        <w:tblW w:w="8306" w:type="dxa"/>
        <w:jc w:val="center"/>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jc w:val="center"/>
        </w:trPr>
        <w:tc>
          <w:tcPr>
            <w:tcW w:w="830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pPr>
            <w:r>
              <w:rPr>
                <w:rFonts w:hint="default" w:ascii="color:#333333;" w:hAnsi="color:#333333;" w:eastAsia="color:#333333;" w:cs="color:#333333;"/>
                <w:color w:val="333333"/>
                <w:kern w:val="0"/>
                <w:sz w:val="24"/>
                <w:szCs w:val="24"/>
                <w:bdr w:val="none" w:color="auto" w:sz="0" w:space="0"/>
                <w:lang w:val="en-US" w:eastAsia="zh-CN" w:bidi="ar"/>
              </w:rPr>
              <w:t>专栏</w:t>
            </w:r>
            <w:r>
              <w:rPr>
                <w:rFonts w:hint="eastAsia" w:ascii="宋体" w:hAnsi="宋体" w:eastAsia="宋体" w:cs="宋体"/>
                <w:color w:val="333333"/>
                <w:kern w:val="0"/>
                <w:sz w:val="24"/>
                <w:szCs w:val="24"/>
                <w:bdr w:val="none" w:color="auto" w:sz="0" w:space="0"/>
                <w:lang w:val="en-US" w:eastAsia="zh-CN" w:bidi="ar"/>
              </w:rPr>
              <w:t>13  </w:t>
            </w:r>
            <w:r>
              <w:rPr>
                <w:rFonts w:hint="default" w:ascii="color:#333333;" w:hAnsi="color:#333333;" w:eastAsia="color:#333333;" w:cs="color:#333333;"/>
                <w:color w:val="333333"/>
                <w:kern w:val="0"/>
                <w:sz w:val="24"/>
                <w:szCs w:val="24"/>
                <w:bdr w:val="none" w:color="auto" w:sz="0" w:space="0"/>
                <w:lang w:val="en-US" w:eastAsia="zh-CN" w:bidi="ar"/>
              </w:rPr>
              <w:t>人才培训工程</w:t>
            </w:r>
          </w:p>
        </w:tc>
      </w:tr>
      <w:tr>
        <w:tblPrEx>
          <w:shd w:val="clear"/>
          <w:tblLayout w:type="fixed"/>
          <w:tblCellMar>
            <w:top w:w="0" w:type="dxa"/>
            <w:left w:w="0" w:type="dxa"/>
            <w:bottom w:w="0" w:type="dxa"/>
            <w:right w:w="0" w:type="dxa"/>
          </w:tblCellMar>
        </w:tblPrEx>
        <w:trPr>
          <w:jc w:val="center"/>
        </w:trPr>
        <w:tc>
          <w:tcPr>
            <w:tcW w:w="8306"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left"/>
            </w:pPr>
            <w:r>
              <w:rPr>
                <w:rFonts w:hint="default" w:ascii="color:#333333;" w:hAnsi="color:#333333;" w:eastAsia="color:#333333;" w:cs="color:#333333;"/>
                <w:color w:val="333333"/>
                <w:kern w:val="0"/>
                <w:sz w:val="24"/>
                <w:szCs w:val="24"/>
                <w:bdr w:val="none" w:color="auto" w:sz="0" w:space="0"/>
                <w:lang w:val="en-US" w:eastAsia="zh-CN" w:bidi="ar"/>
              </w:rPr>
              <w:t>将养老人才培养纳入人才发展中长期规划。在全省遴选</w:t>
            </w:r>
            <w:r>
              <w:rPr>
                <w:rFonts w:hint="eastAsia" w:ascii="宋体" w:hAnsi="宋体" w:eastAsia="宋体" w:cs="宋体"/>
                <w:color w:val="333333"/>
                <w:kern w:val="0"/>
                <w:sz w:val="24"/>
                <w:szCs w:val="24"/>
                <w:bdr w:val="none" w:color="auto" w:sz="0" w:space="0"/>
                <w:lang w:val="en-US" w:eastAsia="zh-CN" w:bidi="ar"/>
              </w:rPr>
              <w:t>10</w:t>
            </w:r>
            <w:r>
              <w:rPr>
                <w:rFonts w:hint="default" w:ascii="color:#333333;" w:hAnsi="color:#333333;" w:eastAsia="color:#333333;" w:cs="color:#333333;"/>
                <w:color w:val="333333"/>
                <w:kern w:val="0"/>
                <w:sz w:val="24"/>
                <w:szCs w:val="24"/>
                <w:bdr w:val="none" w:color="auto" w:sz="0" w:space="0"/>
                <w:lang w:val="en-US" w:eastAsia="zh-CN" w:bidi="ar"/>
              </w:rPr>
              <w:t>所院校，通过政企合作、院企合作等模式，培养养老服务专业人才；在养老服务、医养结合、科技助老等重点领域，培养、引进高级管理、运营等复合型人才，符合条件的享受人才引进政策，示范带动养老服务业发展；培训中级管理人员、护理师资人员和中级社工师。培训养老护理员、居家养老从业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left"/>
            </w:pPr>
            <w:r>
              <w:rPr>
                <w:rFonts w:hint="default" w:ascii="color:#333333;" w:hAnsi="color:#333333;" w:eastAsia="color:#333333;" w:cs="color:#333333;"/>
                <w:color w:val="333333"/>
                <w:kern w:val="0"/>
                <w:sz w:val="24"/>
                <w:szCs w:val="24"/>
                <w:bdr w:val="none" w:color="auto" w:sz="0" w:space="0"/>
                <w:lang w:val="en-US" w:eastAsia="zh-CN" w:bidi="ar"/>
              </w:rPr>
              <w:t>培养选拔各类养老服务机构中的优秀护理员，提供居住落户、住房保障、子女就学等方面的政策扶持。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left"/>
            </w:pPr>
            <w:r>
              <w:rPr>
                <w:rFonts w:hint="default" w:ascii="color:#333333;" w:hAnsi="color:#333333;" w:eastAsia="color:#333333;" w:cs="color:#333333;"/>
                <w:color w:val="333333"/>
                <w:kern w:val="0"/>
                <w:sz w:val="24"/>
                <w:szCs w:val="24"/>
                <w:bdr w:val="none" w:color="auto" w:sz="0" w:space="0"/>
                <w:lang w:val="en-US" w:eastAsia="zh-CN" w:bidi="ar"/>
              </w:rPr>
              <w:t>鼓励城乡就业人员从事养老服务工作。对符合条件的养老服务从业人员，实行就业创业扶持，纳入政府开发的公益性岗位给予补贴。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left"/>
            </w:pPr>
            <w:r>
              <w:rPr>
                <w:rFonts w:hint="default" w:ascii="color:#333333;" w:hAnsi="color:#333333;" w:eastAsia="color:#333333;" w:cs="color:#333333;"/>
                <w:color w:val="333333"/>
                <w:kern w:val="0"/>
                <w:sz w:val="24"/>
                <w:szCs w:val="24"/>
                <w:bdr w:val="none" w:color="auto" w:sz="0" w:space="0"/>
                <w:lang w:val="en-US" w:eastAsia="zh-CN" w:bidi="ar"/>
              </w:rPr>
              <w:t>举办老龄知识业务培训班，对各级老龄工作机构的人员定期开展老龄政策和相关知识培训。</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default" w:ascii="color:#333333;" w:hAnsi="color:#333333;" w:eastAsia="color:#333333;" w:cs="color:#333333;"/>
          <w:kern w:val="0"/>
          <w:sz w:val="24"/>
          <w:szCs w:val="24"/>
          <w:bdr w:val="none" w:color="auto" w:sz="0" w:space="0"/>
          <w:lang w:val="en-US" w:eastAsia="zh-CN" w:bidi="ar"/>
        </w:rPr>
        <w:t>加强基层工作。进一步完善老龄工作机制，保证城乡社区老龄工作有人抓、老年人事情有人管、老年人困难有人帮。探索建立基层老龄工作先进典型激励机制。继续推进离退休人员管理服务社会化，建立实施老年人原工作单位、居住社区、老年社会组织和基层党组织齐抓共管的工作机制。总结创建离退休干部基层服务型党组织的好经验好做法，积极探索老年社会组织党建工作的新途径新办法。探索建立工会、共青团、妇联、残联等群团组织参与老年人管理服务的常态化机制和制度化渠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default" w:ascii="color:#333333;" w:hAnsi="color:#333333;" w:eastAsia="color:#333333;" w:cs="color:#333333;"/>
          <w:kern w:val="0"/>
          <w:sz w:val="24"/>
          <w:szCs w:val="24"/>
          <w:bdr w:val="none" w:color="auto" w:sz="0" w:space="0"/>
          <w:lang w:val="en-US" w:eastAsia="zh-CN" w:bidi="ar"/>
        </w:rPr>
        <w:t>加强科学研究和调查统计。按照全国统一部署，推动整合优化后的省级科技计划（专项、基金等）、社会科学基金等支持老龄事业领域的科技创新、基础理论研究和政策应用研究。建立全省老龄事业发展报告年度发布制度。完善老龄科学学科体系，加快老龄科学人才培养。在高校、研究机构、企业和地方，设立一批老龄科学理论研究基地、老龄产业实践研究基地、老龄政策创制试点基地。组建全省老龄问题专家智库，健全重大决策专家咨询制度。开展全省老龄专题政策调研，深化调研成果转化与运用。加强人口老龄化中长期应对策略研究。继续开展推动城乡老年人生活状况抽样调查，探索建立省级成果发布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default" w:ascii="color:#333333;" w:hAnsi="color:#333333;" w:eastAsia="color:#333333;" w:cs="color:#333333;"/>
          <w:kern w:val="0"/>
          <w:sz w:val="24"/>
          <w:szCs w:val="24"/>
          <w:bdr w:val="none" w:color="auto" w:sz="0" w:space="0"/>
          <w:lang w:val="en-US" w:eastAsia="zh-CN" w:bidi="ar"/>
        </w:rPr>
        <w:t>强化老龄宣传。坚持正确舆论导向，充分发挥新闻媒体、老龄媒体等各类媒体的作用，整合涉老部门宣传资源，健全老龄宣传工作机制。加大对人口老龄化省情、老龄政策法规、老龄事业发展重大主题以及老龄工作典型人物、事迹、经验等宣传报道力度，策划主题宣传，提升舆情研判引导能力，营造全社会关注老龄问题、关心老龄事业、支持老龄工作的良好氛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pPr>
      <w:r>
        <w:rPr>
          <w:rFonts w:hint="default" w:ascii="color:#333333;" w:hAnsi="color:#333333;" w:eastAsia="color:#333333;" w:cs="color:#333333;"/>
          <w:kern w:val="0"/>
          <w:sz w:val="24"/>
          <w:szCs w:val="24"/>
          <w:bdr w:val="none" w:color="auto" w:sz="0" w:space="0"/>
          <w:lang w:val="en-US" w:eastAsia="zh-CN" w:bidi="ar"/>
        </w:rPr>
        <w:t>第二节</w:t>
      </w:r>
      <w:r>
        <w:rPr>
          <w:rFonts w:hint="eastAsia" w:ascii="宋体" w:hAnsi="宋体" w:eastAsia="宋体" w:cs="宋体"/>
          <w:color w:val="333333"/>
          <w:kern w:val="0"/>
          <w:sz w:val="24"/>
          <w:szCs w:val="24"/>
          <w:bdr w:val="none" w:color="auto" w:sz="0" w:space="0"/>
          <w:lang w:val="en-US" w:eastAsia="zh-CN" w:bidi="ar"/>
        </w:rPr>
        <w:t>  </w:t>
      </w:r>
      <w:r>
        <w:rPr>
          <w:rFonts w:hint="default" w:ascii="color:#333333;" w:hAnsi="color:#333333;" w:eastAsia="color:#333333;" w:cs="color:#333333;"/>
          <w:kern w:val="0"/>
          <w:sz w:val="24"/>
          <w:szCs w:val="24"/>
          <w:bdr w:val="none" w:color="auto" w:sz="0" w:space="0"/>
          <w:lang w:val="en-US" w:eastAsia="zh-CN" w:bidi="ar"/>
        </w:rPr>
        <w:t>强化规划实施保障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default" w:ascii="color:#333333;" w:hAnsi="color:#333333;" w:eastAsia="color:#333333;" w:cs="color:#333333;"/>
          <w:kern w:val="0"/>
          <w:sz w:val="24"/>
          <w:szCs w:val="24"/>
          <w:bdr w:val="none" w:color="auto" w:sz="0" w:space="0"/>
          <w:lang w:val="en-US" w:eastAsia="zh-CN" w:bidi="ar"/>
        </w:rPr>
        <w:t>加强组织领导。完善党委统一领导、政府依法行政、部门密切配合、群团组织积极参与、上下左右协同联动的老龄工作机制。坚持党对老龄工作的统一领导，发挥各级党委总揽全局、协调各方的领导核心作用，为规划实施提供坚强保证；强化政府落实规划的主体责任，将本规划主要任务指标纳入经济社会发展规划，纳入政府工作议事日程和目标管理绩效考核内容。健全老龄工作体制机制，形成推进规划实施的合力。加强专家支持系统建设，建立由多学科、多领域专家参与的专家顾问制度，为规划实施提供技术咨询、评估和指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default" w:ascii="color:#333333;" w:hAnsi="color:#333333;" w:eastAsia="color:#333333;" w:cs="color:#333333;"/>
          <w:kern w:val="0"/>
          <w:sz w:val="24"/>
          <w:szCs w:val="24"/>
          <w:bdr w:val="none" w:color="auto" w:sz="0" w:space="0"/>
          <w:lang w:val="en-US" w:eastAsia="zh-CN" w:bidi="ar"/>
        </w:rPr>
        <w:t>加强督促检查。省老龄办、省民政厅、省发展改革委会同有关部门，加强对各地的指导、督促，及时检查并向省政府报告工作进展情况。搭建社会监督平台，健全第三方评估机制，适时对规划执行情况进行评估，向社会公布评估结果。市、县政府要结合实际制定本规划实施方案，分解年度工作计划，细化相关指标，确保责任到位、工作到位、投入到位、见到实效。鼓励各地积极探索，勇于创新，创造性地实施规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default" w:ascii="color:#333333;" w:hAnsi="color:#333333;" w:eastAsia="color:#333333;" w:cs="color:#333333;"/>
          <w:kern w:val="0"/>
          <w:sz w:val="24"/>
          <w:szCs w:val="24"/>
          <w:bdr w:val="none" w:color="auto" w:sz="0" w:space="0"/>
          <w:lang w:val="en-US" w:eastAsia="zh-CN" w:bidi="ar"/>
        </w:rPr>
        <w:t>附件：部门重点任务分工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asciiTheme="minorHAnsi" w:hAnsiTheme="minorHAnsi" w:eastAsiaTheme="minorEastAsia" w:cstheme="minorBidi"/>
          <w:kern w:val="0"/>
          <w:sz w:val="24"/>
          <w:szCs w:val="24"/>
          <w:bdr w:val="none" w:color="auto" w:sz="0" w:space="0"/>
          <w:lang w:val="en-US" w:eastAsia="zh-CN" w:bidi="ar"/>
        </w:rPr>
        <w:t> </w:t>
      </w:r>
    </w:p>
    <w:p>
      <w:pPr>
        <w:keepNext w:val="0"/>
        <w:keepLines w:val="0"/>
        <w:widowControl/>
        <w:suppressLineNumbers w:val="0"/>
        <w:jc w:val="left"/>
      </w:pPr>
      <w:r>
        <w:rPr>
          <w:rFonts w:ascii="宋体" w:hAnsi="宋体" w:eastAsia="宋体" w:cs="宋体"/>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olor:#333333;" w:hAnsi="color:#333333;" w:eastAsia="color:#333333;" w:cs="color:#333333;"/>
          <w:kern w:val="0"/>
          <w:sz w:val="24"/>
          <w:szCs w:val="24"/>
          <w:bdr w:val="none" w:color="auto" w:sz="0" w:space="0"/>
          <w:lang w:val="en-US" w:eastAsia="zh-CN" w:bidi="ar"/>
        </w:rPr>
        <w:t>部门重点任务分工</w:t>
      </w:r>
    </w:p>
    <w:tbl>
      <w:tblPr>
        <w:tblW w:w="8304" w:type="dxa"/>
        <w:jc w:val="center"/>
        <w:tblInd w:w="1" w:type="dxa"/>
        <w:shd w:val="clear"/>
        <w:tblLayout w:type="fixed"/>
        <w:tblCellMar>
          <w:top w:w="0" w:type="dxa"/>
          <w:left w:w="0" w:type="dxa"/>
          <w:bottom w:w="0" w:type="dxa"/>
          <w:right w:w="0" w:type="dxa"/>
        </w:tblCellMar>
      </w:tblPr>
      <w:tblGrid>
        <w:gridCol w:w="889"/>
        <w:gridCol w:w="4539"/>
        <w:gridCol w:w="1474"/>
        <w:gridCol w:w="1402"/>
      </w:tblGrid>
      <w:tr>
        <w:tblPrEx>
          <w:shd w:val="clear"/>
          <w:tblLayout w:type="fixed"/>
          <w:tblCellMar>
            <w:top w:w="0" w:type="dxa"/>
            <w:left w:w="0" w:type="dxa"/>
            <w:bottom w:w="0" w:type="dxa"/>
            <w:right w:w="0" w:type="dxa"/>
          </w:tblCellMar>
        </w:tblPrEx>
        <w:trPr>
          <w:jc w:val="center"/>
        </w:trPr>
        <w:tc>
          <w:tcPr>
            <w:tcW w:w="5428" w:type="dxa"/>
            <w:gridSpan w:val="2"/>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color:#333333;" w:hAnsi="color:#333333;" w:eastAsia="color:#333333;" w:cs="color:#333333;"/>
                <w:color w:val="333333"/>
                <w:kern w:val="0"/>
                <w:sz w:val="24"/>
                <w:szCs w:val="24"/>
                <w:bdr w:val="none" w:color="auto" w:sz="0" w:space="0"/>
                <w:lang w:val="en-US" w:eastAsia="zh-CN" w:bidi="ar"/>
              </w:rPr>
              <w:t>工</w:t>
            </w:r>
            <w:r>
              <w:rPr>
                <w:rFonts w:hint="eastAsia" w:ascii="宋体" w:hAnsi="宋体" w:eastAsia="宋体" w:cs="宋体"/>
                <w:color w:val="333333"/>
                <w:kern w:val="0"/>
                <w:sz w:val="24"/>
                <w:szCs w:val="24"/>
                <w:bdr w:val="none" w:color="auto" w:sz="0" w:space="0"/>
                <w:lang w:val="en-US" w:eastAsia="zh-CN" w:bidi="ar"/>
              </w:rPr>
              <w:t> </w:t>
            </w:r>
            <w:r>
              <w:rPr>
                <w:rFonts w:hint="default" w:ascii="color:#333333;" w:hAnsi="color:#333333;" w:eastAsia="color:#333333;" w:cs="color:#333333;"/>
                <w:color w:val="333333"/>
                <w:kern w:val="0"/>
                <w:sz w:val="24"/>
                <w:szCs w:val="24"/>
                <w:bdr w:val="none" w:color="auto" w:sz="0" w:space="0"/>
                <w:lang w:val="en-US" w:eastAsia="zh-CN" w:bidi="ar"/>
              </w:rPr>
              <w:t> 作</w:t>
            </w:r>
            <w:r>
              <w:rPr>
                <w:rFonts w:hint="eastAsia" w:ascii="宋体" w:hAnsi="宋体" w:eastAsia="宋体" w:cs="宋体"/>
                <w:color w:val="333333"/>
                <w:kern w:val="0"/>
                <w:sz w:val="24"/>
                <w:szCs w:val="24"/>
                <w:bdr w:val="none" w:color="auto" w:sz="0" w:space="0"/>
                <w:lang w:val="en-US" w:eastAsia="zh-CN" w:bidi="ar"/>
              </w:rPr>
              <w:t> </w:t>
            </w:r>
            <w:r>
              <w:rPr>
                <w:rFonts w:hint="default" w:ascii="color:#333333;" w:hAnsi="color:#333333;" w:eastAsia="color:#333333;" w:cs="color:#333333;"/>
                <w:color w:val="333333"/>
                <w:kern w:val="0"/>
                <w:sz w:val="24"/>
                <w:szCs w:val="24"/>
                <w:bdr w:val="none" w:color="auto" w:sz="0" w:space="0"/>
                <w:lang w:val="en-US" w:eastAsia="zh-CN" w:bidi="ar"/>
              </w:rPr>
              <w:t> 任</w:t>
            </w:r>
            <w:r>
              <w:rPr>
                <w:rFonts w:hint="eastAsia" w:ascii="宋体" w:hAnsi="宋体" w:eastAsia="宋体" w:cs="宋体"/>
                <w:color w:val="333333"/>
                <w:kern w:val="0"/>
                <w:sz w:val="24"/>
                <w:szCs w:val="24"/>
                <w:bdr w:val="none" w:color="auto" w:sz="0" w:space="0"/>
                <w:lang w:val="en-US" w:eastAsia="zh-CN" w:bidi="ar"/>
              </w:rPr>
              <w:t> </w:t>
            </w:r>
            <w:r>
              <w:rPr>
                <w:rFonts w:hint="default" w:ascii="color:#333333;" w:hAnsi="color:#333333;" w:eastAsia="color:#333333;" w:cs="color:#333333;"/>
                <w:color w:val="333333"/>
                <w:kern w:val="0"/>
                <w:sz w:val="24"/>
                <w:szCs w:val="24"/>
                <w:bdr w:val="none" w:color="auto" w:sz="0" w:space="0"/>
                <w:lang w:val="en-US" w:eastAsia="zh-CN" w:bidi="ar"/>
              </w:rPr>
              <w:t> 务</w:t>
            </w:r>
          </w:p>
        </w:tc>
        <w:tc>
          <w:tcPr>
            <w:tcW w:w="1474"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color:#333333;" w:hAnsi="color:#333333;" w:eastAsia="color:#333333;" w:cs="color:#333333;"/>
                <w:color w:val="333333"/>
                <w:kern w:val="0"/>
                <w:sz w:val="24"/>
                <w:szCs w:val="24"/>
                <w:bdr w:val="none" w:color="auto" w:sz="0" w:space="0"/>
                <w:lang w:val="en-US" w:eastAsia="zh-CN" w:bidi="ar"/>
              </w:rPr>
              <w:t>牵头单位</w:t>
            </w:r>
          </w:p>
        </w:tc>
        <w:tc>
          <w:tcPr>
            <w:tcW w:w="1402"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color:#333333;" w:hAnsi="color:#333333;" w:eastAsia="color:#333333;" w:cs="color:#333333;"/>
                <w:color w:val="333333"/>
                <w:kern w:val="0"/>
                <w:sz w:val="24"/>
                <w:szCs w:val="24"/>
                <w:bdr w:val="none" w:color="auto" w:sz="0" w:space="0"/>
                <w:lang w:val="en-US" w:eastAsia="zh-CN" w:bidi="ar"/>
              </w:rPr>
              <w:t>责任单位</w:t>
            </w:r>
          </w:p>
        </w:tc>
      </w:tr>
      <w:tr>
        <w:tblPrEx>
          <w:tblLayout w:type="fixed"/>
          <w:tblCellMar>
            <w:top w:w="0" w:type="dxa"/>
            <w:left w:w="0" w:type="dxa"/>
            <w:bottom w:w="0" w:type="dxa"/>
            <w:right w:w="0" w:type="dxa"/>
          </w:tblCellMar>
        </w:tblPrEx>
        <w:trPr>
          <w:jc w:val="center"/>
        </w:trPr>
        <w:tc>
          <w:tcPr>
            <w:tcW w:w="88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color:#333333;" w:hAnsi="color:#333333;" w:eastAsia="color:#333333;" w:cs="color:#333333;"/>
                <w:color w:val="333333"/>
                <w:kern w:val="0"/>
                <w:sz w:val="24"/>
                <w:szCs w:val="24"/>
                <w:bdr w:val="none" w:color="auto" w:sz="0" w:space="0"/>
                <w:lang w:val="en-US" w:eastAsia="zh-CN" w:bidi="ar"/>
              </w:rPr>
              <w:t>类别</w:t>
            </w:r>
          </w:p>
        </w:tc>
        <w:tc>
          <w:tcPr>
            <w:tcW w:w="45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color:#333333;" w:hAnsi="color:#333333;" w:eastAsia="color:#333333;" w:cs="color:#333333;"/>
                <w:color w:val="333333"/>
                <w:kern w:val="0"/>
                <w:sz w:val="24"/>
                <w:szCs w:val="24"/>
                <w:bdr w:val="none" w:color="auto" w:sz="0" w:space="0"/>
                <w:lang w:val="en-US" w:eastAsia="zh-CN" w:bidi="ar"/>
              </w:rPr>
              <w:t>内 容 措 施</w:t>
            </w:r>
          </w:p>
        </w:tc>
        <w:tc>
          <w:tcPr>
            <w:tcW w:w="1474"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hAnsi="宋体" w:eastAsia="宋体" w:cs="宋体"/>
                <w:color w:val="333333"/>
                <w:sz w:val="18"/>
                <w:szCs w:val="18"/>
              </w:rPr>
            </w:pPr>
          </w:p>
        </w:tc>
        <w:tc>
          <w:tcPr>
            <w:tcW w:w="1402"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hAnsi="宋体" w:eastAsia="宋体" w:cs="宋体"/>
                <w:color w:val="333333"/>
                <w:sz w:val="18"/>
                <w:szCs w:val="18"/>
              </w:rPr>
            </w:pPr>
          </w:p>
        </w:tc>
      </w:tr>
      <w:tr>
        <w:tblPrEx>
          <w:tblLayout w:type="fixed"/>
          <w:tblCellMar>
            <w:top w:w="0" w:type="dxa"/>
            <w:left w:w="0" w:type="dxa"/>
            <w:bottom w:w="0" w:type="dxa"/>
            <w:right w:w="0" w:type="dxa"/>
          </w:tblCellMar>
        </w:tblPrEx>
        <w:trPr>
          <w:jc w:val="center"/>
        </w:trPr>
        <w:tc>
          <w:tcPr>
            <w:tcW w:w="889"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color:#333333;" w:hAnsi="color:#333333;" w:eastAsia="color:#333333;" w:cs="color:#333333;"/>
                <w:color w:val="333333"/>
                <w:kern w:val="0"/>
                <w:sz w:val="24"/>
                <w:szCs w:val="24"/>
                <w:bdr w:val="none" w:color="auto" w:sz="0" w:space="0"/>
                <w:lang w:val="en-US" w:eastAsia="zh-CN" w:bidi="ar"/>
              </w:rPr>
              <w:t>老年社会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color:#333333;" w:hAnsi="color:#333333;" w:eastAsia="color:#333333;" w:cs="color:#333333;"/>
                <w:color w:val="333333"/>
                <w:kern w:val="0"/>
                <w:sz w:val="24"/>
                <w:szCs w:val="24"/>
                <w:bdr w:val="none" w:color="auto" w:sz="0" w:space="0"/>
                <w:lang w:val="en-US" w:eastAsia="zh-CN" w:bidi="ar"/>
              </w:rPr>
              <w:t>保障</w:t>
            </w:r>
          </w:p>
        </w:tc>
        <w:tc>
          <w:tcPr>
            <w:tcW w:w="45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color:#333333;" w:hAnsi="color:#333333;" w:eastAsia="color:#333333;" w:cs="color:#333333;"/>
                <w:color w:val="333333"/>
                <w:kern w:val="0"/>
                <w:sz w:val="24"/>
                <w:szCs w:val="24"/>
                <w:bdr w:val="none" w:color="auto" w:sz="0" w:space="0"/>
                <w:lang w:val="en-US" w:eastAsia="zh-CN" w:bidi="ar"/>
              </w:rPr>
              <w:t>进一步完善城乡居民基本养老保险制度。全面实施机关事业单位养老保险制度改革。积极发展职业年金、企业年金、个人储蓄性养老保险、商业养老保险。推进个人税收递延型商业养老保险试点。</w:t>
            </w:r>
          </w:p>
        </w:tc>
        <w:tc>
          <w:tcPr>
            <w:tcW w:w="147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color:#333333;" w:hAnsi="color:#333333;" w:eastAsia="color:#333333;" w:cs="color:#333333;"/>
                <w:color w:val="333333"/>
                <w:kern w:val="0"/>
                <w:sz w:val="24"/>
                <w:szCs w:val="24"/>
                <w:bdr w:val="none" w:color="auto" w:sz="0" w:space="0"/>
                <w:lang w:val="en-US" w:eastAsia="zh-CN" w:bidi="ar"/>
              </w:rPr>
              <w:t>省人力资源社会保障厅</w:t>
            </w:r>
          </w:p>
        </w:tc>
        <w:tc>
          <w:tcPr>
            <w:tcW w:w="140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color:#333333;" w:hAnsi="color:#333333;" w:eastAsia="color:#333333;" w:cs="color:#333333;"/>
                <w:color w:val="333333"/>
                <w:kern w:val="0"/>
                <w:sz w:val="24"/>
                <w:szCs w:val="24"/>
                <w:bdr w:val="none" w:color="auto" w:sz="0" w:space="0"/>
                <w:lang w:val="en-US" w:eastAsia="zh-CN" w:bidi="ar"/>
              </w:rPr>
              <w:t>省人力资源社会保障厅、省地税局、省财政厅、省国资委、安徽保监局、安徽银监局、人行合肥中心支行</w:t>
            </w:r>
          </w:p>
        </w:tc>
      </w:tr>
      <w:tr>
        <w:tblPrEx>
          <w:tblLayout w:type="fixed"/>
          <w:tblCellMar>
            <w:top w:w="0" w:type="dxa"/>
            <w:left w:w="0" w:type="dxa"/>
            <w:bottom w:w="0" w:type="dxa"/>
            <w:right w:w="0" w:type="dxa"/>
          </w:tblCellMar>
        </w:tblPrEx>
        <w:trPr>
          <w:jc w:val="center"/>
        </w:trPr>
        <w:tc>
          <w:tcPr>
            <w:tcW w:w="889"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hAnsi="宋体" w:eastAsia="宋体" w:cs="宋体"/>
                <w:color w:val="333333"/>
                <w:sz w:val="18"/>
                <w:szCs w:val="18"/>
              </w:rPr>
            </w:pPr>
          </w:p>
        </w:tc>
        <w:tc>
          <w:tcPr>
            <w:tcW w:w="45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color:#333333;" w:hAnsi="color:#333333;" w:eastAsia="color:#333333;" w:cs="color:#333333;"/>
                <w:color w:val="333333"/>
                <w:kern w:val="0"/>
                <w:sz w:val="24"/>
                <w:szCs w:val="24"/>
                <w:bdr w:val="none" w:color="auto" w:sz="0" w:space="0"/>
                <w:lang w:val="en-US" w:eastAsia="zh-CN" w:bidi="ar"/>
              </w:rPr>
              <w:t>建立全省统一的城乡居民基本医疗保险制度，2017年完成新型农村合作医疗和城镇居民基本医疗保险制度并轨。加快推进基本医疗保险全省联网和异地就医结算。巩固完善城乡居民大病保险制度，鼓励发展补充医疗保险和商业健康保险、老年人意外伤害保险。</w:t>
            </w:r>
          </w:p>
        </w:tc>
        <w:tc>
          <w:tcPr>
            <w:tcW w:w="147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color:#333333;" w:hAnsi="color:#333333;" w:eastAsia="color:#333333;" w:cs="color:#333333;"/>
                <w:color w:val="333333"/>
                <w:kern w:val="0"/>
                <w:sz w:val="24"/>
                <w:szCs w:val="24"/>
                <w:bdr w:val="none" w:color="auto" w:sz="0" w:space="0"/>
                <w:lang w:val="en-US" w:eastAsia="zh-CN" w:bidi="ar"/>
              </w:rPr>
              <w:t>省人力资源社会保障厅、省卫生计生委</w:t>
            </w:r>
          </w:p>
        </w:tc>
        <w:tc>
          <w:tcPr>
            <w:tcW w:w="140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color:#333333;" w:hAnsi="color:#333333;" w:eastAsia="color:#333333;" w:cs="color:#333333;"/>
                <w:color w:val="333333"/>
                <w:kern w:val="0"/>
                <w:sz w:val="24"/>
                <w:szCs w:val="24"/>
                <w:bdr w:val="none" w:color="auto" w:sz="0" w:space="0"/>
                <w:lang w:val="en-US" w:eastAsia="zh-CN" w:bidi="ar"/>
              </w:rPr>
              <w:t>省人力资源社会保障厅、省卫生计生委、省财政厅、省民政厅、安徽保监局、省老龄办</w:t>
            </w:r>
          </w:p>
        </w:tc>
      </w:tr>
      <w:tr>
        <w:tblPrEx>
          <w:tblLayout w:type="fixed"/>
          <w:tblCellMar>
            <w:top w:w="0" w:type="dxa"/>
            <w:left w:w="0" w:type="dxa"/>
            <w:bottom w:w="0" w:type="dxa"/>
            <w:right w:w="0" w:type="dxa"/>
          </w:tblCellMar>
        </w:tblPrEx>
        <w:trPr>
          <w:jc w:val="center"/>
        </w:trPr>
        <w:tc>
          <w:tcPr>
            <w:tcW w:w="889"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hAnsi="宋体" w:eastAsia="宋体" w:cs="宋体"/>
                <w:color w:val="333333"/>
                <w:sz w:val="18"/>
                <w:szCs w:val="18"/>
              </w:rPr>
            </w:pPr>
          </w:p>
        </w:tc>
        <w:tc>
          <w:tcPr>
            <w:tcW w:w="45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color:#333333;" w:hAnsi="color:#333333;" w:eastAsia="color:#333333;" w:cs="color:#333333;"/>
                <w:color w:val="333333"/>
                <w:kern w:val="0"/>
                <w:sz w:val="24"/>
                <w:szCs w:val="24"/>
                <w:bdr w:val="none" w:color="auto" w:sz="0" w:space="0"/>
                <w:lang w:val="en-US" w:eastAsia="zh-CN" w:bidi="ar"/>
              </w:rPr>
              <w:t>探索建立长期护理保险制度。积极引导发挥社会救助、慈善事业等的有益补充，鼓励商业保险公司开发适销对路的长期护理保险产品和服务。</w:t>
            </w:r>
          </w:p>
        </w:tc>
        <w:tc>
          <w:tcPr>
            <w:tcW w:w="147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color:#333333;" w:hAnsi="color:#333333;" w:eastAsia="color:#333333;" w:cs="color:#333333;"/>
                <w:color w:val="333333"/>
                <w:kern w:val="0"/>
                <w:sz w:val="24"/>
                <w:szCs w:val="24"/>
                <w:bdr w:val="none" w:color="auto" w:sz="0" w:space="0"/>
                <w:lang w:val="en-US" w:eastAsia="zh-CN" w:bidi="ar"/>
              </w:rPr>
              <w:t>省人力资源社会保障厅</w:t>
            </w:r>
          </w:p>
        </w:tc>
        <w:tc>
          <w:tcPr>
            <w:tcW w:w="140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color:#333333;" w:hAnsi="color:#333333;" w:eastAsia="color:#333333;" w:cs="color:#333333;"/>
                <w:color w:val="333333"/>
                <w:kern w:val="0"/>
                <w:sz w:val="24"/>
                <w:szCs w:val="24"/>
                <w:bdr w:val="none" w:color="auto" w:sz="0" w:space="0"/>
                <w:lang w:val="en-US" w:eastAsia="zh-CN" w:bidi="ar"/>
              </w:rPr>
              <w:t>省人力资源社会保障厅、省民政厅、省卫生计生委、省财政厅、安徽保监局、省残联</w:t>
            </w:r>
          </w:p>
        </w:tc>
      </w:tr>
      <w:tr>
        <w:tblPrEx>
          <w:tblLayout w:type="fixed"/>
          <w:tblCellMar>
            <w:top w:w="0" w:type="dxa"/>
            <w:left w:w="0" w:type="dxa"/>
            <w:bottom w:w="0" w:type="dxa"/>
            <w:right w:w="0" w:type="dxa"/>
          </w:tblCellMar>
        </w:tblPrEx>
        <w:trPr>
          <w:jc w:val="center"/>
        </w:trPr>
        <w:tc>
          <w:tcPr>
            <w:tcW w:w="88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color:#333333;" w:hAnsi="color:#333333;" w:eastAsia="color:#333333;" w:cs="color:#333333;"/>
                <w:color w:val="333333"/>
                <w:kern w:val="0"/>
                <w:sz w:val="24"/>
                <w:szCs w:val="24"/>
                <w:bdr w:val="none" w:color="auto" w:sz="0" w:space="0"/>
                <w:lang w:val="en-US" w:eastAsia="zh-CN" w:bidi="ar"/>
              </w:rPr>
              <w:t>老年社会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color:#333333;" w:hAnsi="color:#333333;" w:eastAsia="color:#333333;" w:cs="color:#333333;"/>
                <w:color w:val="333333"/>
                <w:kern w:val="0"/>
                <w:sz w:val="24"/>
                <w:szCs w:val="24"/>
                <w:bdr w:val="none" w:color="auto" w:sz="0" w:space="0"/>
                <w:lang w:val="en-US" w:eastAsia="zh-CN" w:bidi="ar"/>
              </w:rPr>
              <w:t>保障</w:t>
            </w:r>
          </w:p>
        </w:tc>
        <w:tc>
          <w:tcPr>
            <w:tcW w:w="45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color:#333333;" w:hAnsi="color:#333333;" w:eastAsia="color:#333333;" w:cs="color:#333333;"/>
                <w:color w:val="333333"/>
                <w:kern w:val="0"/>
                <w:sz w:val="24"/>
                <w:szCs w:val="24"/>
                <w:bdr w:val="none" w:color="auto" w:sz="0" w:space="0"/>
                <w:lang w:val="en-US" w:eastAsia="zh-CN" w:bidi="ar"/>
              </w:rPr>
              <w:t>制定实施本省老年人基本养老公共服务清单。着力保障特殊困难老年人的养老服务需求。确保所有符合条件的老年人按规定纳入最低生活保障、特困人员救助供养等社会救助制度保障范围。完善医疗救助制度和临时救助制度，确保现行扶贫标准下农村贫困老年人实现脱贫。发展老年慈善事业，发挥社会慈善在老年人扶贫济困中的补充作用。</w:t>
            </w:r>
          </w:p>
        </w:tc>
        <w:tc>
          <w:tcPr>
            <w:tcW w:w="147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left"/>
            </w:pPr>
            <w:r>
              <w:rPr>
                <w:rFonts w:hint="default" w:ascii="color:#333333;" w:hAnsi="color:#333333;" w:eastAsia="color:#333333;" w:cs="color:#333333;"/>
                <w:color w:val="333333"/>
                <w:kern w:val="0"/>
                <w:sz w:val="24"/>
                <w:szCs w:val="24"/>
                <w:bdr w:val="none" w:color="auto" w:sz="0" w:space="0"/>
                <w:lang w:val="en-US" w:eastAsia="zh-CN" w:bidi="ar"/>
              </w:rPr>
              <w:t>省民政厅</w:t>
            </w:r>
          </w:p>
        </w:tc>
        <w:tc>
          <w:tcPr>
            <w:tcW w:w="140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color:#333333;" w:hAnsi="color:#333333;" w:eastAsia="color:#333333;" w:cs="color:#333333;"/>
                <w:color w:val="333333"/>
                <w:kern w:val="0"/>
                <w:sz w:val="24"/>
                <w:szCs w:val="24"/>
                <w:bdr w:val="none" w:color="auto" w:sz="0" w:space="0"/>
                <w:lang w:val="en-US" w:eastAsia="zh-CN" w:bidi="ar"/>
              </w:rPr>
              <w:t>省民政厅、省发展改革委、省财政厅、省人力资源社会保障厅、省卫生计生委、省老龄办</w:t>
            </w:r>
          </w:p>
        </w:tc>
      </w:tr>
      <w:tr>
        <w:tblPrEx>
          <w:tblLayout w:type="fixed"/>
          <w:tblCellMar>
            <w:top w:w="0" w:type="dxa"/>
            <w:left w:w="0" w:type="dxa"/>
            <w:bottom w:w="0" w:type="dxa"/>
            <w:right w:w="0" w:type="dxa"/>
          </w:tblCellMar>
        </w:tblPrEx>
        <w:trPr>
          <w:jc w:val="center"/>
        </w:trPr>
        <w:tc>
          <w:tcPr>
            <w:tcW w:w="889"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color:#333333;" w:hAnsi="color:#333333;" w:eastAsia="color:#333333;" w:cs="color:#333333;"/>
                <w:color w:val="333333"/>
                <w:kern w:val="0"/>
                <w:sz w:val="24"/>
                <w:szCs w:val="24"/>
                <w:bdr w:val="none" w:color="auto" w:sz="0" w:space="0"/>
                <w:lang w:val="en-US" w:eastAsia="zh-CN" w:bidi="ar"/>
              </w:rPr>
              <w:t>养老服务</w:t>
            </w:r>
          </w:p>
        </w:tc>
        <w:tc>
          <w:tcPr>
            <w:tcW w:w="45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color:#333333;" w:hAnsi="color:#333333;" w:eastAsia="color:#333333;" w:cs="color:#333333;"/>
                <w:color w:val="333333"/>
                <w:kern w:val="0"/>
                <w:sz w:val="24"/>
                <w:szCs w:val="24"/>
                <w:bdr w:val="none" w:color="auto" w:sz="0" w:space="0"/>
                <w:lang w:val="en-US" w:eastAsia="zh-CN" w:bidi="ar"/>
              </w:rPr>
              <w:t>加强家庭建设，逐步建立支持家庭养老的政策体系。大力发展居家社区养老服务。引导养老服务机构依托社区综合服务设施和社区公共服务综合信息平台，为老年人提供精准化个性化专业化服务。探索建立虚拟养老院。鼓励老年人参加社区自助互助养老。大力推行政府购买服务，完善政府购买服务目录。推进城镇社区居家养老服务“三个中心”、农村“三个网络”全面建立。普遍建立20分钟社区居家养老服务圈。</w:t>
            </w:r>
          </w:p>
        </w:tc>
        <w:tc>
          <w:tcPr>
            <w:tcW w:w="147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left"/>
            </w:pPr>
            <w:r>
              <w:rPr>
                <w:rFonts w:hint="default" w:ascii="color:#333333;" w:hAnsi="color:#333333;" w:eastAsia="color:#333333;" w:cs="color:#333333;"/>
                <w:color w:val="333333"/>
                <w:kern w:val="0"/>
                <w:sz w:val="24"/>
                <w:szCs w:val="24"/>
                <w:bdr w:val="none" w:color="auto" w:sz="0" w:space="0"/>
                <w:lang w:val="en-US" w:eastAsia="zh-CN" w:bidi="ar"/>
              </w:rPr>
              <w:t>省民政厅</w:t>
            </w:r>
          </w:p>
        </w:tc>
        <w:tc>
          <w:tcPr>
            <w:tcW w:w="140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color:#333333;" w:hAnsi="color:#333333;" w:eastAsia="color:#333333;" w:cs="color:#333333;"/>
                <w:color w:val="333333"/>
                <w:kern w:val="0"/>
                <w:sz w:val="24"/>
                <w:szCs w:val="24"/>
                <w:bdr w:val="none" w:color="auto" w:sz="0" w:space="0"/>
                <w:lang w:val="en-US" w:eastAsia="zh-CN" w:bidi="ar"/>
              </w:rPr>
              <w:t>省民政厅、省发展改革委、省财政厅、省商务厅、省人力资源社会保障厅、省住房城乡建设厅、省国土资源厅、省教育厅、省文化厅、省体育局、省妇联、团省委、省老龄办</w:t>
            </w:r>
          </w:p>
        </w:tc>
      </w:tr>
      <w:tr>
        <w:tblPrEx>
          <w:tblLayout w:type="fixed"/>
          <w:tblCellMar>
            <w:top w:w="0" w:type="dxa"/>
            <w:left w:w="0" w:type="dxa"/>
            <w:bottom w:w="0" w:type="dxa"/>
            <w:right w:w="0" w:type="dxa"/>
          </w:tblCellMar>
        </w:tblPrEx>
        <w:trPr>
          <w:jc w:val="center"/>
        </w:trPr>
        <w:tc>
          <w:tcPr>
            <w:tcW w:w="889"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hAnsi="宋体" w:eastAsia="宋体" w:cs="宋体"/>
                <w:color w:val="333333"/>
                <w:sz w:val="18"/>
                <w:szCs w:val="18"/>
              </w:rPr>
            </w:pPr>
          </w:p>
        </w:tc>
        <w:tc>
          <w:tcPr>
            <w:tcW w:w="45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color:#333333;" w:hAnsi="color:#333333;" w:eastAsia="color:#333333;" w:cs="color:#333333;"/>
                <w:color w:val="333333"/>
                <w:kern w:val="0"/>
                <w:sz w:val="24"/>
                <w:szCs w:val="24"/>
                <w:bdr w:val="none" w:color="auto" w:sz="0" w:space="0"/>
                <w:lang w:val="en-US" w:eastAsia="zh-CN" w:bidi="ar"/>
              </w:rPr>
              <w:t>统筹规划发展城乡社区养老服务设施。</w:t>
            </w:r>
          </w:p>
        </w:tc>
        <w:tc>
          <w:tcPr>
            <w:tcW w:w="147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color:#333333;" w:hAnsi="color:#333333;" w:eastAsia="color:#333333;" w:cs="color:#333333;"/>
                <w:color w:val="333333"/>
                <w:kern w:val="0"/>
                <w:sz w:val="24"/>
                <w:szCs w:val="24"/>
                <w:bdr w:val="none" w:color="auto" w:sz="0" w:space="0"/>
                <w:lang w:val="en-US" w:eastAsia="zh-CN" w:bidi="ar"/>
              </w:rPr>
              <w:t>省住房城乡建设厅</w:t>
            </w:r>
          </w:p>
        </w:tc>
        <w:tc>
          <w:tcPr>
            <w:tcW w:w="140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color:#333333;" w:hAnsi="color:#333333;" w:eastAsia="color:#333333;" w:cs="color:#333333;"/>
                <w:color w:val="333333"/>
                <w:kern w:val="0"/>
                <w:sz w:val="24"/>
                <w:szCs w:val="24"/>
                <w:bdr w:val="none" w:color="auto" w:sz="0" w:space="0"/>
                <w:lang w:val="en-US" w:eastAsia="zh-CN" w:bidi="ar"/>
              </w:rPr>
              <w:t>省住房城乡建设厅、省国土资源厅、省民政厅、省发展改革委</w:t>
            </w:r>
          </w:p>
        </w:tc>
      </w:tr>
      <w:tr>
        <w:tblPrEx>
          <w:tblLayout w:type="fixed"/>
          <w:tblCellMar>
            <w:top w:w="0" w:type="dxa"/>
            <w:left w:w="0" w:type="dxa"/>
            <w:bottom w:w="0" w:type="dxa"/>
            <w:right w:w="0" w:type="dxa"/>
          </w:tblCellMar>
        </w:tblPrEx>
        <w:trPr>
          <w:jc w:val="center"/>
        </w:trPr>
        <w:tc>
          <w:tcPr>
            <w:tcW w:w="88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color:#333333;" w:hAnsi="color:#333333;" w:eastAsia="color:#333333;" w:cs="color:#333333;"/>
                <w:color w:val="333333"/>
                <w:kern w:val="0"/>
                <w:sz w:val="24"/>
                <w:szCs w:val="24"/>
                <w:bdr w:val="none" w:color="auto" w:sz="0" w:space="0"/>
                <w:lang w:val="en-US" w:eastAsia="zh-CN" w:bidi="ar"/>
              </w:rPr>
              <w:t>养老服务</w:t>
            </w:r>
          </w:p>
        </w:tc>
        <w:tc>
          <w:tcPr>
            <w:tcW w:w="45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color:#333333;" w:hAnsi="color:#333333;" w:eastAsia="color:#333333;" w:cs="color:#333333;"/>
                <w:color w:val="333333"/>
                <w:kern w:val="0"/>
                <w:sz w:val="24"/>
                <w:szCs w:val="24"/>
                <w:bdr w:val="none" w:color="auto" w:sz="0" w:space="0"/>
                <w:lang w:val="en-US" w:eastAsia="zh-CN" w:bidi="ar"/>
              </w:rPr>
              <w:t>强化公办保障性养老机构托底保障功能。加快推进具备向社会提供养老服务条件的公办养老机构转制为企业或开展公建民营。制定社会力量运营公办养老机构管理办法，积极推进公建民营。支持社会力量举办养老机构。开展养老院服务质量建设专项行动。积极推进农村特困人员供养服务机构转型升级为区域性养老服务中心。发展农村互助养老服务。支持人口聚集地、中心村建设养老服务设施，支持行政村、较大自然村建设互助性养老服务设施。</w:t>
            </w:r>
          </w:p>
        </w:tc>
        <w:tc>
          <w:tcPr>
            <w:tcW w:w="147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left"/>
            </w:pPr>
            <w:r>
              <w:rPr>
                <w:rFonts w:hint="default" w:ascii="color:#333333;" w:hAnsi="color:#333333;" w:eastAsia="color:#333333;" w:cs="color:#333333;"/>
                <w:color w:val="333333"/>
                <w:kern w:val="0"/>
                <w:sz w:val="24"/>
                <w:szCs w:val="24"/>
                <w:bdr w:val="none" w:color="auto" w:sz="0" w:space="0"/>
                <w:lang w:val="en-US" w:eastAsia="zh-CN" w:bidi="ar"/>
              </w:rPr>
              <w:t>省民政厅</w:t>
            </w:r>
          </w:p>
        </w:tc>
        <w:tc>
          <w:tcPr>
            <w:tcW w:w="140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color:#333333;" w:hAnsi="color:#333333;" w:eastAsia="color:#333333;" w:cs="color:#333333;"/>
                <w:color w:val="333333"/>
                <w:kern w:val="0"/>
                <w:sz w:val="24"/>
                <w:szCs w:val="24"/>
                <w:bdr w:val="none" w:color="auto" w:sz="0" w:space="0"/>
                <w:lang w:val="en-US" w:eastAsia="zh-CN" w:bidi="ar"/>
              </w:rPr>
              <w:t>省民政厅、省财政厅、省发展改革委、省公安厅、省卫生计生委、省质监局、省老龄办、省农委</w:t>
            </w:r>
          </w:p>
        </w:tc>
      </w:tr>
      <w:tr>
        <w:tblPrEx>
          <w:tblLayout w:type="fixed"/>
        </w:tblPrEx>
        <w:trPr>
          <w:jc w:val="center"/>
        </w:trPr>
        <w:tc>
          <w:tcPr>
            <w:tcW w:w="88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color:#333333;" w:hAnsi="color:#333333;" w:eastAsia="color:#333333;" w:cs="color:#333333;"/>
                <w:color w:val="333333"/>
                <w:kern w:val="0"/>
                <w:sz w:val="24"/>
                <w:szCs w:val="24"/>
                <w:bdr w:val="none" w:color="auto" w:sz="0" w:space="0"/>
                <w:lang w:val="en-US" w:eastAsia="zh-CN" w:bidi="ar"/>
              </w:rPr>
              <w:t>老年健康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color:#333333;" w:hAnsi="color:#333333;" w:eastAsia="color:#333333;" w:cs="color:#333333;"/>
                <w:color w:val="333333"/>
                <w:kern w:val="0"/>
                <w:sz w:val="24"/>
                <w:szCs w:val="24"/>
                <w:bdr w:val="none" w:color="auto" w:sz="0" w:space="0"/>
                <w:lang w:val="en-US" w:eastAsia="zh-CN" w:bidi="ar"/>
              </w:rPr>
              <w:t>支持</w:t>
            </w:r>
          </w:p>
        </w:tc>
        <w:tc>
          <w:tcPr>
            <w:tcW w:w="45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color:#333333;" w:hAnsi="color:#333333;" w:eastAsia="color:#333333;" w:cs="color:#333333;"/>
                <w:color w:val="333333"/>
                <w:kern w:val="0"/>
                <w:sz w:val="24"/>
                <w:szCs w:val="24"/>
                <w:bdr w:val="none" w:color="auto" w:sz="0" w:space="0"/>
                <w:lang w:val="en-US" w:eastAsia="zh-CN" w:bidi="ar"/>
              </w:rPr>
              <w:t>统筹落实好医养结合优惠扶持政策，打通医疗机构与养老机构融合通道，建立养老机构内设医疗机构与合作医院间双向转诊绿色通道。建设医养结合示范工程。养老机构按规定开办老年病医院、康复医院、护理院、中医医院、临终关怀机构等，也可内设医务室、护理站等。养老机构内设医疗机构的，应及时纳入当地医疗机构规划布局。养老机构设置的医疗机构，符合条件的应按规定纳入基本医疗保险定点范围。加强对老年人健康生活方式和健身活动的指导，促进老年病早发现、早诊断、早治疗。启动老年人心理健康预防和干预计划。加强老年康复医院、护理院、临终关怀机构和综合医院老年病科建设。提高基层医疗卫生机构康复护理床位占比，引导乡镇卫生院、敬老院设立养护型老年医疗护理服务特色科室，开设护理型床位或病区。</w:t>
            </w:r>
          </w:p>
        </w:tc>
        <w:tc>
          <w:tcPr>
            <w:tcW w:w="147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240"/>
              <w:jc w:val="left"/>
            </w:pPr>
            <w:r>
              <w:rPr>
                <w:rFonts w:hint="default" w:ascii="color:#333333;" w:hAnsi="color:#333333;" w:eastAsia="color:#333333;" w:cs="color:#333333;"/>
                <w:color w:val="333333"/>
                <w:kern w:val="0"/>
                <w:sz w:val="24"/>
                <w:szCs w:val="24"/>
                <w:bdr w:val="none" w:color="auto" w:sz="0" w:space="0"/>
                <w:lang w:val="en-US" w:eastAsia="zh-CN" w:bidi="ar"/>
              </w:rPr>
              <w:t>省卫生计生委</w:t>
            </w:r>
          </w:p>
        </w:tc>
        <w:tc>
          <w:tcPr>
            <w:tcW w:w="140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color:#333333;" w:hAnsi="color:#333333;" w:eastAsia="color:#333333;" w:cs="color:#333333;"/>
                <w:color w:val="333333"/>
                <w:kern w:val="0"/>
                <w:sz w:val="24"/>
                <w:szCs w:val="24"/>
                <w:bdr w:val="none" w:color="auto" w:sz="0" w:space="0"/>
                <w:lang w:val="en-US" w:eastAsia="zh-CN" w:bidi="ar"/>
              </w:rPr>
              <w:t>省卫生计生委、省人力资源社会保障厅、省民政厅、省发展改革委、省体育局、省老龄办</w:t>
            </w:r>
          </w:p>
        </w:tc>
      </w:tr>
      <w:tr>
        <w:tblPrEx>
          <w:tblLayout w:type="fixed"/>
          <w:tblCellMar>
            <w:top w:w="0" w:type="dxa"/>
            <w:left w:w="0" w:type="dxa"/>
            <w:bottom w:w="0" w:type="dxa"/>
            <w:right w:w="0" w:type="dxa"/>
          </w:tblCellMar>
        </w:tblPrEx>
        <w:trPr>
          <w:jc w:val="center"/>
        </w:trPr>
        <w:tc>
          <w:tcPr>
            <w:tcW w:w="889"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color:#333333;" w:hAnsi="color:#333333;" w:eastAsia="color:#333333;" w:cs="color:#333333;"/>
                <w:color w:val="333333"/>
                <w:kern w:val="0"/>
                <w:sz w:val="24"/>
                <w:szCs w:val="24"/>
                <w:bdr w:val="none" w:color="auto" w:sz="0" w:space="0"/>
                <w:lang w:val="en-US" w:eastAsia="zh-CN" w:bidi="ar"/>
              </w:rPr>
              <w:t>老年健康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color:#333333;" w:hAnsi="color:#333333;" w:eastAsia="color:#333333;" w:cs="color:#333333;"/>
                <w:color w:val="333333"/>
                <w:kern w:val="0"/>
                <w:sz w:val="24"/>
                <w:szCs w:val="24"/>
                <w:bdr w:val="none" w:color="auto" w:sz="0" w:space="0"/>
                <w:lang w:val="en-US" w:eastAsia="zh-CN" w:bidi="ar"/>
              </w:rPr>
              <w:t>支持</w:t>
            </w:r>
          </w:p>
        </w:tc>
        <w:tc>
          <w:tcPr>
            <w:tcW w:w="45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color:#333333;" w:hAnsi="color:#333333;" w:eastAsia="color:#333333;" w:cs="color:#333333;"/>
                <w:color w:val="333333"/>
                <w:kern w:val="0"/>
                <w:sz w:val="24"/>
                <w:szCs w:val="24"/>
                <w:bdr w:val="none" w:color="auto" w:sz="0" w:space="0"/>
                <w:lang w:val="en-US" w:eastAsia="zh-CN" w:bidi="ar"/>
              </w:rPr>
              <w:t>贯彻落实安徽省全民健身计划。统筹规划建设公益性老年健身体育设施。</w:t>
            </w:r>
          </w:p>
        </w:tc>
        <w:tc>
          <w:tcPr>
            <w:tcW w:w="147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left"/>
            </w:pPr>
            <w:r>
              <w:rPr>
                <w:rFonts w:hint="default" w:ascii="color:#333333;" w:hAnsi="color:#333333;" w:eastAsia="color:#333333;" w:cs="color:#333333;"/>
                <w:color w:val="333333"/>
                <w:kern w:val="0"/>
                <w:sz w:val="24"/>
                <w:szCs w:val="24"/>
                <w:bdr w:val="none" w:color="auto" w:sz="0" w:space="0"/>
                <w:lang w:val="en-US" w:eastAsia="zh-CN" w:bidi="ar"/>
              </w:rPr>
              <w:t>省体育局</w:t>
            </w:r>
          </w:p>
        </w:tc>
        <w:tc>
          <w:tcPr>
            <w:tcW w:w="140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color:#333333;" w:hAnsi="color:#333333;" w:eastAsia="color:#333333;" w:cs="color:#333333;"/>
                <w:color w:val="333333"/>
                <w:kern w:val="0"/>
                <w:sz w:val="24"/>
                <w:szCs w:val="24"/>
                <w:bdr w:val="none" w:color="auto" w:sz="0" w:space="0"/>
                <w:lang w:val="en-US" w:eastAsia="zh-CN" w:bidi="ar"/>
              </w:rPr>
              <w:t>省体育局、省发展改革委、省财政厅、省住房城乡建设厅、省国土资源厅</w:t>
            </w:r>
          </w:p>
        </w:tc>
      </w:tr>
      <w:tr>
        <w:tblPrEx>
          <w:tblLayout w:type="fixed"/>
          <w:tblCellMar>
            <w:top w:w="0" w:type="dxa"/>
            <w:left w:w="0" w:type="dxa"/>
            <w:bottom w:w="0" w:type="dxa"/>
            <w:right w:w="0" w:type="dxa"/>
          </w:tblCellMar>
        </w:tblPrEx>
        <w:trPr>
          <w:jc w:val="center"/>
        </w:trPr>
        <w:tc>
          <w:tcPr>
            <w:tcW w:w="889"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hAnsi="宋体" w:eastAsia="宋体" w:cs="宋体"/>
                <w:color w:val="333333"/>
                <w:sz w:val="18"/>
                <w:szCs w:val="18"/>
              </w:rPr>
            </w:pPr>
          </w:p>
        </w:tc>
        <w:tc>
          <w:tcPr>
            <w:tcW w:w="45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color:#333333;" w:hAnsi="color:#333333;" w:eastAsia="color:#333333;" w:cs="color:#333333;"/>
                <w:color w:val="333333"/>
                <w:kern w:val="0"/>
                <w:sz w:val="24"/>
                <w:szCs w:val="24"/>
                <w:bdr w:val="none" w:color="auto" w:sz="0" w:space="0"/>
                <w:lang w:val="en-US" w:eastAsia="zh-CN" w:bidi="ar"/>
              </w:rPr>
              <w:t>将留成的体育彩票公益金安排适当资金用于开展老年人体育活动。</w:t>
            </w:r>
          </w:p>
        </w:tc>
        <w:tc>
          <w:tcPr>
            <w:tcW w:w="147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left"/>
            </w:pPr>
            <w:r>
              <w:rPr>
                <w:rFonts w:hint="default" w:ascii="color:#333333;" w:hAnsi="color:#333333;" w:eastAsia="color:#333333;" w:cs="color:#333333;"/>
                <w:color w:val="333333"/>
                <w:kern w:val="0"/>
                <w:sz w:val="24"/>
                <w:szCs w:val="24"/>
                <w:bdr w:val="none" w:color="auto" w:sz="0" w:space="0"/>
                <w:lang w:val="en-US" w:eastAsia="zh-CN" w:bidi="ar"/>
              </w:rPr>
              <w:t>省财政厅</w:t>
            </w:r>
          </w:p>
        </w:tc>
        <w:tc>
          <w:tcPr>
            <w:tcW w:w="140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color:#333333;" w:hAnsi="color:#333333;" w:eastAsia="color:#333333;" w:cs="color:#333333;"/>
                <w:color w:val="333333"/>
                <w:kern w:val="0"/>
                <w:sz w:val="24"/>
                <w:szCs w:val="24"/>
                <w:bdr w:val="none" w:color="auto" w:sz="0" w:space="0"/>
                <w:lang w:val="en-US" w:eastAsia="zh-CN" w:bidi="ar"/>
              </w:rPr>
              <w:t>省财政厅、省体育局</w:t>
            </w:r>
          </w:p>
        </w:tc>
      </w:tr>
      <w:tr>
        <w:tblPrEx>
          <w:tblLayout w:type="fixed"/>
          <w:tblCellMar>
            <w:top w:w="0" w:type="dxa"/>
            <w:left w:w="0" w:type="dxa"/>
            <w:bottom w:w="0" w:type="dxa"/>
            <w:right w:w="0" w:type="dxa"/>
          </w:tblCellMar>
        </w:tblPrEx>
        <w:trPr>
          <w:jc w:val="center"/>
        </w:trPr>
        <w:tc>
          <w:tcPr>
            <w:tcW w:w="889"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color:#333333;" w:hAnsi="color:#333333;" w:eastAsia="color:#333333;" w:cs="color:#333333;"/>
                <w:color w:val="333333"/>
                <w:kern w:val="0"/>
                <w:sz w:val="24"/>
                <w:szCs w:val="24"/>
                <w:bdr w:val="none" w:color="auto" w:sz="0" w:space="0"/>
                <w:lang w:val="en-US" w:eastAsia="zh-CN" w:bidi="ar"/>
              </w:rPr>
              <w:t>老年消费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color:#333333;" w:hAnsi="color:#333333;" w:eastAsia="color:#333333;" w:cs="color:#333333;"/>
                <w:color w:val="333333"/>
                <w:kern w:val="0"/>
                <w:sz w:val="24"/>
                <w:szCs w:val="24"/>
                <w:bdr w:val="none" w:color="auto" w:sz="0" w:space="0"/>
                <w:lang w:val="en-US" w:eastAsia="zh-CN" w:bidi="ar"/>
              </w:rPr>
              <w:t>市场</w:t>
            </w:r>
          </w:p>
        </w:tc>
        <w:tc>
          <w:tcPr>
            <w:tcW w:w="45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color:#333333;" w:hAnsi="color:#333333;" w:eastAsia="color:#333333;" w:cs="color:#333333;"/>
                <w:color w:val="333333"/>
                <w:kern w:val="0"/>
                <w:sz w:val="24"/>
                <w:szCs w:val="24"/>
                <w:bdr w:val="none" w:color="auto" w:sz="0" w:space="0"/>
                <w:lang w:val="en-US" w:eastAsia="zh-CN" w:bidi="ar"/>
              </w:rPr>
              <w:t>培育老龄产业新的增长点，完善相关规划和扶持政策。</w:t>
            </w:r>
          </w:p>
        </w:tc>
        <w:tc>
          <w:tcPr>
            <w:tcW w:w="147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left"/>
            </w:pPr>
            <w:r>
              <w:rPr>
                <w:rFonts w:hint="default" w:ascii="color:#333333;" w:hAnsi="color:#333333;" w:eastAsia="color:#333333;" w:cs="color:#333333;"/>
                <w:color w:val="333333"/>
                <w:kern w:val="0"/>
                <w:sz w:val="24"/>
                <w:szCs w:val="24"/>
                <w:bdr w:val="none" w:color="auto" w:sz="0" w:space="0"/>
                <w:lang w:val="en-US" w:eastAsia="zh-CN" w:bidi="ar"/>
              </w:rPr>
              <w:t>省民政厅</w:t>
            </w:r>
          </w:p>
        </w:tc>
        <w:tc>
          <w:tcPr>
            <w:tcW w:w="140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color:#333333;" w:hAnsi="color:#333333;" w:eastAsia="color:#333333;" w:cs="color:#333333;"/>
                <w:color w:val="333333"/>
                <w:kern w:val="0"/>
                <w:sz w:val="24"/>
                <w:szCs w:val="24"/>
                <w:bdr w:val="none" w:color="auto" w:sz="0" w:space="0"/>
                <w:lang w:val="en-US" w:eastAsia="zh-CN" w:bidi="ar"/>
              </w:rPr>
              <w:t>省民政厅、省发展改革委、省经济和信息化委</w:t>
            </w:r>
          </w:p>
        </w:tc>
      </w:tr>
      <w:tr>
        <w:tblPrEx>
          <w:tblLayout w:type="fixed"/>
          <w:tblCellMar>
            <w:top w:w="0" w:type="dxa"/>
            <w:left w:w="0" w:type="dxa"/>
            <w:bottom w:w="0" w:type="dxa"/>
            <w:right w:w="0" w:type="dxa"/>
          </w:tblCellMar>
        </w:tblPrEx>
        <w:trPr>
          <w:jc w:val="center"/>
        </w:trPr>
        <w:tc>
          <w:tcPr>
            <w:tcW w:w="889"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hAnsi="宋体" w:eastAsia="宋体" w:cs="宋体"/>
                <w:color w:val="333333"/>
                <w:sz w:val="18"/>
                <w:szCs w:val="18"/>
              </w:rPr>
            </w:pPr>
          </w:p>
        </w:tc>
        <w:tc>
          <w:tcPr>
            <w:tcW w:w="45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color:#333333;" w:hAnsi="color:#333333;" w:eastAsia="color:#333333;" w:cs="color:#333333;"/>
                <w:color w:val="333333"/>
                <w:kern w:val="0"/>
                <w:sz w:val="24"/>
                <w:szCs w:val="24"/>
                <w:bdr w:val="none" w:color="auto" w:sz="0" w:space="0"/>
                <w:lang w:val="en-US" w:eastAsia="zh-CN" w:bidi="ar"/>
              </w:rPr>
              <w:t>实施品牌战略，重点开发为老服务产品和培育养老服务品牌，大力发展养老服务中小企业，打造养老服务龙头企业。打造健康养老服务产业集群。促进养老服务与旅游、文化等产业融合发展。增加老年用品供给。提升老年用品科技含量。</w:t>
            </w:r>
          </w:p>
        </w:tc>
        <w:tc>
          <w:tcPr>
            <w:tcW w:w="147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color:#333333;" w:hAnsi="color:#333333;" w:eastAsia="color:#333333;" w:cs="color:#333333;"/>
                <w:color w:val="333333"/>
                <w:kern w:val="0"/>
                <w:sz w:val="24"/>
                <w:szCs w:val="24"/>
                <w:bdr w:val="none" w:color="auto" w:sz="0" w:space="0"/>
                <w:lang w:val="en-US" w:eastAsia="zh-CN" w:bidi="ar"/>
              </w:rPr>
              <w:t>省经济和信息化委</w:t>
            </w:r>
          </w:p>
        </w:tc>
        <w:tc>
          <w:tcPr>
            <w:tcW w:w="140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color:#333333;" w:hAnsi="color:#333333;" w:eastAsia="color:#333333;" w:cs="color:#333333;"/>
                <w:color w:val="333333"/>
                <w:kern w:val="0"/>
                <w:sz w:val="24"/>
                <w:szCs w:val="24"/>
                <w:bdr w:val="none" w:color="auto" w:sz="0" w:space="0"/>
                <w:lang w:val="en-US" w:eastAsia="zh-CN" w:bidi="ar"/>
              </w:rPr>
              <w:t>省经济和信息化委、省民政厅、省发展改革委、省商务厅、省科技厅、省国资委</w:t>
            </w:r>
          </w:p>
        </w:tc>
      </w:tr>
      <w:tr>
        <w:tblPrEx>
          <w:tblLayout w:type="fixed"/>
          <w:tblCellMar>
            <w:top w:w="0" w:type="dxa"/>
            <w:left w:w="0" w:type="dxa"/>
            <w:bottom w:w="0" w:type="dxa"/>
            <w:right w:w="0" w:type="dxa"/>
          </w:tblCellMar>
        </w:tblPrEx>
        <w:trPr>
          <w:jc w:val="center"/>
        </w:trPr>
        <w:tc>
          <w:tcPr>
            <w:tcW w:w="889"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hAnsi="宋体" w:eastAsia="宋体" w:cs="宋体"/>
                <w:color w:val="333333"/>
                <w:sz w:val="18"/>
                <w:szCs w:val="18"/>
              </w:rPr>
            </w:pPr>
          </w:p>
        </w:tc>
        <w:tc>
          <w:tcPr>
            <w:tcW w:w="45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color:#333333;" w:hAnsi="color:#333333;" w:eastAsia="color:#333333;" w:cs="color:#333333;"/>
                <w:color w:val="333333"/>
                <w:kern w:val="0"/>
                <w:sz w:val="24"/>
                <w:szCs w:val="24"/>
                <w:bdr w:val="none" w:color="auto" w:sz="0" w:space="0"/>
                <w:lang w:val="en-US" w:eastAsia="zh-CN" w:bidi="ar"/>
              </w:rPr>
              <w:t>规范养老服务市场秩序。明确政府、社会、市场、家庭等主体的责任范围和功能边界。研究制定涵盖全面、内容丰富的养老服务标准体系。</w:t>
            </w:r>
          </w:p>
        </w:tc>
        <w:tc>
          <w:tcPr>
            <w:tcW w:w="147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left"/>
            </w:pPr>
            <w:r>
              <w:rPr>
                <w:rFonts w:hint="default" w:ascii="color:#333333;" w:hAnsi="color:#333333;" w:eastAsia="color:#333333;" w:cs="color:#333333;"/>
                <w:color w:val="333333"/>
                <w:kern w:val="0"/>
                <w:sz w:val="24"/>
                <w:szCs w:val="24"/>
                <w:bdr w:val="none" w:color="auto" w:sz="0" w:space="0"/>
                <w:lang w:val="en-US" w:eastAsia="zh-CN" w:bidi="ar"/>
              </w:rPr>
              <w:t>省民政厅</w:t>
            </w:r>
          </w:p>
        </w:tc>
        <w:tc>
          <w:tcPr>
            <w:tcW w:w="140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color:#333333;" w:hAnsi="color:#333333;" w:eastAsia="color:#333333;" w:cs="color:#333333;"/>
                <w:color w:val="333333"/>
                <w:kern w:val="0"/>
                <w:sz w:val="24"/>
                <w:szCs w:val="24"/>
                <w:bdr w:val="none" w:color="auto" w:sz="0" w:space="0"/>
                <w:lang w:val="en-US" w:eastAsia="zh-CN" w:bidi="ar"/>
              </w:rPr>
              <w:t>省民政厅、省质监局、省商务厅、省老龄办、省经济和信息化委</w:t>
            </w:r>
            <w:bookmarkStart w:id="0" w:name="_GoBack"/>
            <w:bookmarkEnd w:id="0"/>
          </w:p>
        </w:tc>
      </w:tr>
      <w:tr>
        <w:tblPrEx>
          <w:tblLayout w:type="fixed"/>
          <w:tblCellMar>
            <w:top w:w="0" w:type="dxa"/>
            <w:left w:w="0" w:type="dxa"/>
            <w:bottom w:w="0" w:type="dxa"/>
            <w:right w:w="0" w:type="dxa"/>
          </w:tblCellMar>
        </w:tblPrEx>
        <w:trPr>
          <w:jc w:val="center"/>
        </w:trPr>
        <w:tc>
          <w:tcPr>
            <w:tcW w:w="88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color:#333333;" w:hAnsi="color:#333333;" w:eastAsia="color:#333333;" w:cs="color:#333333;"/>
                <w:color w:val="333333"/>
                <w:kern w:val="0"/>
                <w:sz w:val="24"/>
                <w:szCs w:val="24"/>
                <w:bdr w:val="none" w:color="auto" w:sz="0" w:space="0"/>
                <w:lang w:val="en-US" w:eastAsia="zh-CN" w:bidi="ar"/>
              </w:rPr>
              <w:t>老年宜居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color:#333333;" w:hAnsi="color:#333333;" w:eastAsia="color:#333333;" w:cs="color:#333333;"/>
                <w:color w:val="333333"/>
                <w:kern w:val="0"/>
                <w:sz w:val="24"/>
                <w:szCs w:val="24"/>
                <w:bdr w:val="none" w:color="auto" w:sz="0" w:space="0"/>
                <w:lang w:val="en-US" w:eastAsia="zh-CN" w:bidi="ar"/>
              </w:rPr>
              <w:t>环境</w:t>
            </w:r>
          </w:p>
        </w:tc>
        <w:tc>
          <w:tcPr>
            <w:tcW w:w="45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color:#333333;" w:hAnsi="color:#333333;" w:eastAsia="color:#333333;" w:cs="color:#333333;"/>
                <w:color w:val="333333"/>
                <w:kern w:val="0"/>
                <w:sz w:val="24"/>
                <w:szCs w:val="24"/>
                <w:bdr w:val="none" w:color="auto" w:sz="0" w:space="0"/>
                <w:lang w:val="en-US" w:eastAsia="zh-CN" w:bidi="ar"/>
              </w:rPr>
              <w:t>严格执行无障碍环境建设相关法律法规，完善涉老工程技术标准规范体系。加强与老年人日常生活密切相关的公共服务设施和老年人家庭无障碍设施的设计与改造。</w:t>
            </w:r>
          </w:p>
        </w:tc>
        <w:tc>
          <w:tcPr>
            <w:tcW w:w="147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color:#333333;" w:hAnsi="color:#333333;" w:eastAsia="color:#333333;" w:cs="color:#333333;"/>
                <w:color w:val="333333"/>
                <w:kern w:val="0"/>
                <w:sz w:val="24"/>
                <w:szCs w:val="24"/>
                <w:bdr w:val="none" w:color="auto" w:sz="0" w:space="0"/>
                <w:lang w:val="en-US" w:eastAsia="zh-CN" w:bidi="ar"/>
              </w:rPr>
              <w:t>省住房城乡建设厅</w:t>
            </w:r>
          </w:p>
        </w:tc>
        <w:tc>
          <w:tcPr>
            <w:tcW w:w="140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color:#333333;" w:hAnsi="color:#333333;" w:eastAsia="color:#333333;" w:cs="color:#333333;"/>
                <w:color w:val="333333"/>
                <w:kern w:val="0"/>
                <w:sz w:val="24"/>
                <w:szCs w:val="24"/>
                <w:bdr w:val="none" w:color="auto" w:sz="0" w:space="0"/>
                <w:lang w:val="en-US" w:eastAsia="zh-CN" w:bidi="ar"/>
              </w:rPr>
              <w:t>省住房城乡建设厅、省民政厅、省财政厅、省老龄办、省残联、省文化厅、省体育局、省质监局</w:t>
            </w:r>
          </w:p>
        </w:tc>
      </w:tr>
      <w:tr>
        <w:tblPrEx>
          <w:tblLayout w:type="fixed"/>
          <w:tblCellMar>
            <w:top w:w="0" w:type="dxa"/>
            <w:left w:w="0" w:type="dxa"/>
            <w:bottom w:w="0" w:type="dxa"/>
            <w:right w:w="0" w:type="dxa"/>
          </w:tblCellMar>
        </w:tblPrEx>
        <w:trPr>
          <w:jc w:val="center"/>
        </w:trPr>
        <w:tc>
          <w:tcPr>
            <w:tcW w:w="889"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color:#333333;" w:hAnsi="color:#333333;" w:eastAsia="color:#333333;" w:cs="color:#333333;"/>
                <w:color w:val="333333"/>
                <w:kern w:val="0"/>
                <w:sz w:val="24"/>
                <w:szCs w:val="24"/>
                <w:bdr w:val="none" w:color="auto" w:sz="0" w:space="0"/>
                <w:lang w:val="en-US" w:eastAsia="zh-CN" w:bidi="ar"/>
              </w:rPr>
              <w:t>老年宜居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color:#333333;" w:hAnsi="color:#333333;" w:eastAsia="color:#333333;" w:cs="color:#333333;"/>
                <w:color w:val="333333"/>
                <w:kern w:val="0"/>
                <w:sz w:val="24"/>
                <w:szCs w:val="24"/>
                <w:bdr w:val="none" w:color="auto" w:sz="0" w:space="0"/>
                <w:lang w:val="en-US" w:eastAsia="zh-CN" w:bidi="ar"/>
              </w:rPr>
              <w:t>环境</w:t>
            </w:r>
          </w:p>
        </w:tc>
        <w:tc>
          <w:tcPr>
            <w:tcW w:w="45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color:#333333;" w:hAnsi="color:#333333;" w:eastAsia="color:#333333;" w:cs="color:#333333;"/>
                <w:color w:val="333333"/>
                <w:kern w:val="0"/>
                <w:sz w:val="24"/>
                <w:szCs w:val="24"/>
                <w:bdr w:val="none" w:color="auto" w:sz="0" w:space="0"/>
                <w:lang w:val="en-US" w:eastAsia="zh-CN" w:bidi="ar"/>
              </w:rPr>
              <w:t>建设具有民族特色、时代特征的孝亲敬老文化。利用春节、清明节、中秋节、重阳节等传统节日，开展宣传教育活动。</w:t>
            </w:r>
          </w:p>
        </w:tc>
        <w:tc>
          <w:tcPr>
            <w:tcW w:w="147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60"/>
              <w:jc w:val="left"/>
            </w:pPr>
            <w:r>
              <w:rPr>
                <w:rFonts w:hint="default" w:ascii="color:#333333;" w:hAnsi="color:#333333;" w:eastAsia="color:#333333;" w:cs="color:#333333;"/>
                <w:color w:val="333333"/>
                <w:kern w:val="0"/>
                <w:sz w:val="24"/>
                <w:szCs w:val="24"/>
                <w:bdr w:val="none" w:color="auto" w:sz="0" w:space="0"/>
                <w:lang w:val="en-US" w:eastAsia="zh-CN" w:bidi="ar"/>
              </w:rPr>
              <w:t>省委宣传部</w:t>
            </w:r>
          </w:p>
        </w:tc>
        <w:tc>
          <w:tcPr>
            <w:tcW w:w="140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color:#333333;" w:hAnsi="color:#333333;" w:eastAsia="color:#333333;" w:cs="color:#333333;"/>
                <w:color w:val="333333"/>
                <w:kern w:val="0"/>
                <w:sz w:val="24"/>
                <w:szCs w:val="24"/>
                <w:bdr w:val="none" w:color="auto" w:sz="0" w:space="0"/>
                <w:lang w:val="en-US" w:eastAsia="zh-CN" w:bidi="ar"/>
              </w:rPr>
              <w:t>省委宣传部、省老龄办、省新闻出版广电局、省教育厅、省民政厅、省文化厅、省妇联、团省委</w:t>
            </w:r>
          </w:p>
        </w:tc>
      </w:tr>
      <w:tr>
        <w:tblPrEx>
          <w:tblLayout w:type="fixed"/>
          <w:tblCellMar>
            <w:top w:w="0" w:type="dxa"/>
            <w:left w:w="0" w:type="dxa"/>
            <w:bottom w:w="0" w:type="dxa"/>
            <w:right w:w="0" w:type="dxa"/>
          </w:tblCellMar>
        </w:tblPrEx>
        <w:trPr>
          <w:jc w:val="center"/>
        </w:trPr>
        <w:tc>
          <w:tcPr>
            <w:tcW w:w="889"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hAnsi="宋体" w:eastAsia="宋体" w:cs="宋体"/>
                <w:color w:val="333333"/>
                <w:sz w:val="18"/>
                <w:szCs w:val="18"/>
              </w:rPr>
            </w:pPr>
          </w:p>
        </w:tc>
        <w:tc>
          <w:tcPr>
            <w:tcW w:w="45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color:#333333;" w:hAnsi="color:#333333;" w:eastAsia="color:#333333;" w:cs="color:#333333;"/>
                <w:color w:val="333333"/>
                <w:kern w:val="0"/>
                <w:sz w:val="24"/>
                <w:szCs w:val="24"/>
                <w:bdr w:val="none" w:color="auto" w:sz="0" w:space="0"/>
                <w:lang w:val="en-US" w:eastAsia="zh-CN" w:bidi="ar"/>
              </w:rPr>
              <w:t>全面建立完善包括政务服务、卫生保健、交通出行、商业服务、文体休闲、维权服务在内的老年人优待照顾服务政策制度体系，落实优待规定，扩大优待范围，提高优待水平。</w:t>
            </w:r>
          </w:p>
        </w:tc>
        <w:tc>
          <w:tcPr>
            <w:tcW w:w="147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left"/>
            </w:pPr>
            <w:r>
              <w:rPr>
                <w:rFonts w:hint="default" w:ascii="color:#333333;" w:hAnsi="color:#333333;" w:eastAsia="color:#333333;" w:cs="color:#333333;"/>
                <w:color w:val="333333"/>
                <w:kern w:val="0"/>
                <w:sz w:val="24"/>
                <w:szCs w:val="24"/>
                <w:bdr w:val="none" w:color="auto" w:sz="0" w:space="0"/>
                <w:lang w:val="en-US" w:eastAsia="zh-CN" w:bidi="ar"/>
              </w:rPr>
              <w:t>省老龄办</w:t>
            </w:r>
          </w:p>
        </w:tc>
        <w:tc>
          <w:tcPr>
            <w:tcW w:w="140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color:#333333;" w:hAnsi="color:#333333;" w:eastAsia="color:#333333;" w:cs="color:#333333;"/>
                <w:color w:val="333333"/>
                <w:kern w:val="0"/>
                <w:sz w:val="24"/>
                <w:szCs w:val="24"/>
                <w:bdr w:val="none" w:color="auto" w:sz="0" w:space="0"/>
                <w:lang w:val="en-US" w:eastAsia="zh-CN" w:bidi="ar"/>
              </w:rPr>
              <w:t>省老龄办、省高院、省发展改革委、省科技厅、省公安厅、省民政厅、省司法厅、省财政厅、省人力资源社会保障厅、省住房城乡建设厅、省交通运输厅、省农委、省商务厅、省文化厅、省卫生计生委、省新闻出版广电局、省体育局、省林业厅、省旅游局、上海铁路局合肥铁路办事处、民航安徽监管局、省文物局、省总工会</w:t>
            </w:r>
          </w:p>
        </w:tc>
      </w:tr>
      <w:tr>
        <w:tblPrEx>
          <w:tblLayout w:type="fixed"/>
          <w:tblCellMar>
            <w:top w:w="0" w:type="dxa"/>
            <w:left w:w="0" w:type="dxa"/>
            <w:bottom w:w="0" w:type="dxa"/>
            <w:right w:w="0" w:type="dxa"/>
          </w:tblCellMar>
        </w:tblPrEx>
        <w:trPr>
          <w:jc w:val="center"/>
        </w:trPr>
        <w:tc>
          <w:tcPr>
            <w:tcW w:w="889"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color:#333333;" w:hAnsi="color:#333333;" w:eastAsia="color:#333333;" w:cs="color:#333333;"/>
                <w:color w:val="333333"/>
                <w:kern w:val="0"/>
                <w:sz w:val="24"/>
                <w:szCs w:val="24"/>
                <w:bdr w:val="none" w:color="auto" w:sz="0" w:space="0"/>
                <w:lang w:val="en-US" w:eastAsia="zh-CN" w:bidi="ar"/>
              </w:rPr>
              <w:t>老年人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color:#333333;" w:hAnsi="color:#333333;" w:eastAsia="color:#333333;" w:cs="color:#333333;"/>
                <w:color w:val="333333"/>
                <w:kern w:val="0"/>
                <w:sz w:val="24"/>
                <w:szCs w:val="24"/>
                <w:bdr w:val="none" w:color="auto" w:sz="0" w:space="0"/>
                <w:lang w:val="en-US" w:eastAsia="zh-CN" w:bidi="ar"/>
              </w:rPr>
              <w:t>精神关爱</w:t>
            </w:r>
          </w:p>
        </w:tc>
        <w:tc>
          <w:tcPr>
            <w:tcW w:w="45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color:#333333;" w:hAnsi="color:#333333;" w:eastAsia="color:#333333;" w:cs="color:#333333;"/>
                <w:color w:val="333333"/>
                <w:kern w:val="0"/>
                <w:sz w:val="24"/>
                <w:szCs w:val="24"/>
                <w:bdr w:val="none" w:color="auto" w:sz="0" w:space="0"/>
                <w:lang w:val="en-US" w:eastAsia="zh-CN" w:bidi="ar"/>
              </w:rPr>
              <w:t>将老年教育纳入终身教育体系，落实老年教育发展规划。扩大老年教育资源供给，创新老年教育发展机制。优先发展城乡社区老年教育。促进各级各类学校开展老年教育。鼓励支持各类社会力量举办或参与老年教育。整合文化体育科技资源服务老年教育。利用养老资源推动老年教育。</w:t>
            </w:r>
          </w:p>
        </w:tc>
        <w:tc>
          <w:tcPr>
            <w:tcW w:w="147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left"/>
            </w:pPr>
            <w:r>
              <w:rPr>
                <w:rFonts w:hint="default" w:ascii="color:#333333;" w:hAnsi="color:#333333;" w:eastAsia="color:#333333;" w:cs="color:#333333;"/>
                <w:color w:val="333333"/>
                <w:kern w:val="0"/>
                <w:sz w:val="24"/>
                <w:szCs w:val="24"/>
                <w:bdr w:val="none" w:color="auto" w:sz="0" w:space="0"/>
                <w:lang w:val="en-US" w:eastAsia="zh-CN" w:bidi="ar"/>
              </w:rPr>
              <w:t>省教育厅</w:t>
            </w:r>
          </w:p>
        </w:tc>
        <w:tc>
          <w:tcPr>
            <w:tcW w:w="140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color:#333333;" w:hAnsi="color:#333333;" w:eastAsia="color:#333333;" w:cs="color:#333333;"/>
                <w:color w:val="333333"/>
                <w:kern w:val="0"/>
                <w:sz w:val="24"/>
                <w:szCs w:val="24"/>
                <w:bdr w:val="none" w:color="auto" w:sz="0" w:space="0"/>
                <w:lang w:val="en-US" w:eastAsia="zh-CN" w:bidi="ar"/>
              </w:rPr>
              <w:t>省教育厅、省发展改革委、省财政厅、省委老干部局、省文化厅、省民政厅、省科技厅、省体育局、省新闻出版广电局、省老龄办、省残联、省旅游局</w:t>
            </w:r>
          </w:p>
        </w:tc>
      </w:tr>
      <w:tr>
        <w:tblPrEx>
          <w:tblLayout w:type="fixed"/>
          <w:tblCellMar>
            <w:top w:w="0" w:type="dxa"/>
            <w:left w:w="0" w:type="dxa"/>
            <w:bottom w:w="0" w:type="dxa"/>
            <w:right w:w="0" w:type="dxa"/>
          </w:tblCellMar>
        </w:tblPrEx>
        <w:trPr>
          <w:jc w:val="center"/>
        </w:trPr>
        <w:tc>
          <w:tcPr>
            <w:tcW w:w="889"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hAnsi="宋体" w:eastAsia="宋体" w:cs="宋体"/>
                <w:color w:val="333333"/>
                <w:sz w:val="18"/>
                <w:szCs w:val="18"/>
              </w:rPr>
            </w:pPr>
          </w:p>
        </w:tc>
        <w:tc>
          <w:tcPr>
            <w:tcW w:w="45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color:#333333;" w:hAnsi="color:#333333;" w:eastAsia="color:#333333;" w:cs="color:#333333;"/>
                <w:color w:val="333333"/>
                <w:kern w:val="0"/>
                <w:sz w:val="24"/>
                <w:szCs w:val="24"/>
                <w:bdr w:val="none" w:color="auto" w:sz="0" w:space="0"/>
                <w:lang w:val="en-US" w:eastAsia="zh-CN" w:bidi="ar"/>
              </w:rPr>
              <w:t>完善覆盖城乡的公共文化设施网络，增加适合老年人的特色文化服务项目。深化公共文化服务设施免费开放，做好面向老年人的公共文化服务。加强数字图书馆、数字博物馆、数字文化馆的建设和管理，拓展面向老年人的数字资源服务。</w:t>
            </w:r>
          </w:p>
        </w:tc>
        <w:tc>
          <w:tcPr>
            <w:tcW w:w="147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left"/>
            </w:pPr>
            <w:r>
              <w:rPr>
                <w:rFonts w:hint="default" w:ascii="color:#333333;" w:hAnsi="color:#333333;" w:eastAsia="color:#333333;" w:cs="color:#333333;"/>
                <w:color w:val="333333"/>
                <w:kern w:val="0"/>
                <w:sz w:val="24"/>
                <w:szCs w:val="24"/>
                <w:bdr w:val="none" w:color="auto" w:sz="0" w:space="0"/>
                <w:lang w:val="en-US" w:eastAsia="zh-CN" w:bidi="ar"/>
              </w:rPr>
              <w:t>省文化厅</w:t>
            </w:r>
          </w:p>
        </w:tc>
        <w:tc>
          <w:tcPr>
            <w:tcW w:w="140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color:#333333;" w:hAnsi="color:#333333;" w:eastAsia="color:#333333;" w:cs="color:#333333;"/>
                <w:color w:val="333333"/>
                <w:kern w:val="0"/>
                <w:sz w:val="24"/>
                <w:szCs w:val="24"/>
                <w:bdr w:val="none" w:color="auto" w:sz="0" w:space="0"/>
                <w:lang w:val="en-US" w:eastAsia="zh-CN" w:bidi="ar"/>
              </w:rPr>
              <w:t>省文化厅、省住房城乡建设厅、省国土资源厅、省体育局、省新闻出版广电局、省经济和信息化委</w:t>
            </w:r>
          </w:p>
        </w:tc>
      </w:tr>
      <w:tr>
        <w:tblPrEx>
          <w:tblLayout w:type="fixed"/>
          <w:tblCellMar>
            <w:top w:w="0" w:type="dxa"/>
            <w:left w:w="0" w:type="dxa"/>
            <w:bottom w:w="0" w:type="dxa"/>
            <w:right w:w="0" w:type="dxa"/>
          </w:tblCellMar>
        </w:tblPrEx>
        <w:trPr>
          <w:jc w:val="center"/>
        </w:trPr>
        <w:tc>
          <w:tcPr>
            <w:tcW w:w="889"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hAnsi="宋体" w:eastAsia="宋体" w:cs="宋体"/>
                <w:color w:val="333333"/>
                <w:sz w:val="18"/>
                <w:szCs w:val="18"/>
              </w:rPr>
            </w:pPr>
          </w:p>
        </w:tc>
        <w:tc>
          <w:tcPr>
            <w:tcW w:w="45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color:#333333;" w:hAnsi="color:#333333;" w:eastAsia="color:#333333;" w:cs="color:#333333;"/>
                <w:color w:val="333333"/>
                <w:kern w:val="0"/>
                <w:sz w:val="24"/>
                <w:szCs w:val="24"/>
                <w:bdr w:val="none" w:color="auto" w:sz="0" w:space="0"/>
                <w:lang w:val="en-US" w:eastAsia="zh-CN" w:bidi="ar"/>
              </w:rPr>
              <w:t>健全老年人精神关爱、心理疏导、危机干预服务网络，开展老年心理健康服务试点。做好全生命周期养老准备。完善人口发展战略，建立健全人口与发展综合决策机制。</w:t>
            </w:r>
          </w:p>
        </w:tc>
        <w:tc>
          <w:tcPr>
            <w:tcW w:w="147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240"/>
              <w:jc w:val="left"/>
            </w:pPr>
            <w:r>
              <w:rPr>
                <w:rFonts w:hint="default" w:ascii="color:#333333;" w:hAnsi="color:#333333;" w:eastAsia="color:#333333;" w:cs="color:#333333;"/>
                <w:color w:val="333333"/>
                <w:kern w:val="0"/>
                <w:sz w:val="24"/>
                <w:szCs w:val="24"/>
                <w:bdr w:val="none" w:color="auto" w:sz="0" w:space="0"/>
                <w:lang w:val="en-US" w:eastAsia="zh-CN" w:bidi="ar"/>
              </w:rPr>
              <w:t>省卫生计生委</w:t>
            </w:r>
          </w:p>
        </w:tc>
        <w:tc>
          <w:tcPr>
            <w:tcW w:w="140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color:#333333;" w:hAnsi="color:#333333;" w:eastAsia="color:#333333;" w:cs="color:#333333;"/>
                <w:color w:val="333333"/>
                <w:kern w:val="0"/>
                <w:sz w:val="24"/>
                <w:szCs w:val="24"/>
                <w:bdr w:val="none" w:color="auto" w:sz="0" w:space="0"/>
                <w:lang w:val="en-US" w:eastAsia="zh-CN" w:bidi="ar"/>
              </w:rPr>
              <w:t>省卫生计生委、省人力资源社会保障厅、省民政厅、省老龄办、省发展改革委、省财政厅、省统计局</w:t>
            </w:r>
          </w:p>
        </w:tc>
      </w:tr>
      <w:tr>
        <w:tblPrEx>
          <w:tblLayout w:type="fixed"/>
          <w:tblCellMar>
            <w:top w:w="0" w:type="dxa"/>
            <w:left w:w="0" w:type="dxa"/>
            <w:bottom w:w="0" w:type="dxa"/>
            <w:right w:w="0" w:type="dxa"/>
          </w:tblCellMar>
        </w:tblPrEx>
        <w:trPr>
          <w:jc w:val="center"/>
        </w:trPr>
        <w:tc>
          <w:tcPr>
            <w:tcW w:w="88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color:#333333;" w:hAnsi="color:#333333;" w:eastAsia="color:#333333;" w:cs="color:#333333;"/>
                <w:color w:val="333333"/>
                <w:kern w:val="0"/>
                <w:sz w:val="24"/>
                <w:szCs w:val="24"/>
                <w:bdr w:val="none" w:color="auto" w:sz="0" w:space="0"/>
                <w:lang w:val="en-US" w:eastAsia="zh-CN" w:bidi="ar"/>
              </w:rPr>
              <w:t>老年人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color:#333333;" w:hAnsi="color:#333333;" w:eastAsia="color:#333333;" w:cs="color:#333333;"/>
                <w:color w:val="333333"/>
                <w:kern w:val="0"/>
                <w:sz w:val="24"/>
                <w:szCs w:val="24"/>
                <w:bdr w:val="none" w:color="auto" w:sz="0" w:space="0"/>
                <w:lang w:val="en-US" w:eastAsia="zh-CN" w:bidi="ar"/>
              </w:rPr>
              <w:t>社会参与</w:t>
            </w:r>
          </w:p>
        </w:tc>
        <w:tc>
          <w:tcPr>
            <w:tcW w:w="45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color:#333333;" w:hAnsi="color:#333333;" w:eastAsia="color:#333333;" w:cs="color:#333333;"/>
                <w:color w:val="333333"/>
                <w:kern w:val="0"/>
                <w:sz w:val="24"/>
                <w:szCs w:val="24"/>
                <w:bdr w:val="none" w:color="auto" w:sz="0" w:space="0"/>
                <w:lang w:val="en-US" w:eastAsia="zh-CN" w:bidi="ar"/>
              </w:rPr>
              <w:t>将老年人才开发利用纳入各级人才队伍建设总体规划，鼓励各地制定老年人才开发利用专项规划。对老有所为贡献突出的老年人和在老有所为工作中贡献突出的单位、个人给予表彰或奖励。</w:t>
            </w:r>
          </w:p>
        </w:tc>
        <w:tc>
          <w:tcPr>
            <w:tcW w:w="147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60"/>
              <w:jc w:val="left"/>
            </w:pPr>
            <w:r>
              <w:rPr>
                <w:rFonts w:hint="default" w:ascii="color:#333333;" w:hAnsi="color:#333333;" w:eastAsia="color:#333333;" w:cs="color:#333333;"/>
                <w:color w:val="333333"/>
                <w:kern w:val="0"/>
                <w:sz w:val="24"/>
                <w:szCs w:val="24"/>
                <w:bdr w:val="none" w:color="auto" w:sz="0" w:space="0"/>
                <w:lang w:val="en-US" w:eastAsia="zh-CN" w:bidi="ar"/>
              </w:rPr>
              <w:t>省委组织部</w:t>
            </w:r>
          </w:p>
        </w:tc>
        <w:tc>
          <w:tcPr>
            <w:tcW w:w="140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color:#333333;" w:hAnsi="color:#333333;" w:eastAsia="color:#333333;" w:cs="color:#333333;"/>
                <w:color w:val="333333"/>
                <w:kern w:val="0"/>
                <w:sz w:val="24"/>
                <w:szCs w:val="24"/>
                <w:bdr w:val="none" w:color="auto" w:sz="0" w:space="0"/>
                <w:lang w:val="en-US" w:eastAsia="zh-CN" w:bidi="ar"/>
              </w:rPr>
              <w:t>省委组织部、省人力资源社会保障厅、省发展改革委、省教育厅、省老龄办</w:t>
            </w:r>
          </w:p>
        </w:tc>
      </w:tr>
      <w:tr>
        <w:tblPrEx>
          <w:tblLayout w:type="fixed"/>
          <w:tblCellMar>
            <w:top w:w="0" w:type="dxa"/>
            <w:left w:w="0" w:type="dxa"/>
            <w:bottom w:w="0" w:type="dxa"/>
            <w:right w:w="0" w:type="dxa"/>
          </w:tblCellMar>
        </w:tblPrEx>
        <w:trPr>
          <w:jc w:val="center"/>
        </w:trPr>
        <w:tc>
          <w:tcPr>
            <w:tcW w:w="889"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color:#333333;" w:hAnsi="color:#333333;" w:eastAsia="color:#333333;" w:cs="color:#333333;"/>
                <w:color w:val="333333"/>
                <w:kern w:val="0"/>
                <w:sz w:val="24"/>
                <w:szCs w:val="24"/>
                <w:bdr w:val="none" w:color="auto" w:sz="0" w:space="0"/>
                <w:lang w:val="en-US" w:eastAsia="zh-CN" w:bidi="ar"/>
              </w:rPr>
              <w:t>老年人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color:#333333;" w:hAnsi="color:#333333;" w:eastAsia="color:#333333;" w:cs="color:#333333;"/>
                <w:color w:val="333333"/>
                <w:kern w:val="0"/>
                <w:sz w:val="24"/>
                <w:szCs w:val="24"/>
                <w:bdr w:val="none" w:color="auto" w:sz="0" w:space="0"/>
                <w:lang w:val="en-US" w:eastAsia="zh-CN" w:bidi="ar"/>
              </w:rPr>
              <w:t>社会参与</w:t>
            </w:r>
          </w:p>
        </w:tc>
        <w:tc>
          <w:tcPr>
            <w:tcW w:w="45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color:#333333;" w:hAnsi="color:#333333;" w:eastAsia="color:#333333;" w:cs="color:#333333;"/>
                <w:color w:val="333333"/>
                <w:kern w:val="0"/>
                <w:sz w:val="24"/>
                <w:szCs w:val="24"/>
                <w:bdr w:val="none" w:color="auto" w:sz="0" w:space="0"/>
                <w:lang w:val="en-US" w:eastAsia="zh-CN" w:bidi="ar"/>
              </w:rPr>
              <w:t>开展“银龄志愿行动”，继续组织医疗卫生、文化教育、农业科技等方面的老年专业人才参加援助困难地区的志愿行动。</w:t>
            </w:r>
          </w:p>
        </w:tc>
        <w:tc>
          <w:tcPr>
            <w:tcW w:w="147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left"/>
            </w:pPr>
            <w:r>
              <w:rPr>
                <w:rFonts w:hint="default" w:ascii="color:#333333;" w:hAnsi="color:#333333;" w:eastAsia="color:#333333;" w:cs="color:#333333;"/>
                <w:color w:val="333333"/>
                <w:kern w:val="0"/>
                <w:sz w:val="24"/>
                <w:szCs w:val="24"/>
                <w:bdr w:val="none" w:color="auto" w:sz="0" w:space="0"/>
                <w:lang w:val="en-US" w:eastAsia="zh-CN" w:bidi="ar"/>
              </w:rPr>
              <w:t>省老龄办</w:t>
            </w:r>
          </w:p>
        </w:tc>
        <w:tc>
          <w:tcPr>
            <w:tcW w:w="140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color:#333333;" w:hAnsi="color:#333333;" w:eastAsia="color:#333333;" w:cs="color:#333333;"/>
                <w:color w:val="333333"/>
                <w:kern w:val="0"/>
                <w:sz w:val="24"/>
                <w:szCs w:val="24"/>
                <w:bdr w:val="none" w:color="auto" w:sz="0" w:space="0"/>
                <w:lang w:val="en-US" w:eastAsia="zh-CN" w:bidi="ar"/>
              </w:rPr>
              <w:t>省老龄办、省人力资源社会保障厅、省卫生计生委、省文化厅、省教育厅、省科技厅、省农委、省关工委</w:t>
            </w:r>
          </w:p>
        </w:tc>
      </w:tr>
      <w:tr>
        <w:tblPrEx>
          <w:tblLayout w:type="fixed"/>
          <w:tblCellMar>
            <w:top w:w="0" w:type="dxa"/>
            <w:left w:w="0" w:type="dxa"/>
            <w:bottom w:w="0" w:type="dxa"/>
            <w:right w:w="0" w:type="dxa"/>
          </w:tblCellMar>
        </w:tblPrEx>
        <w:trPr>
          <w:jc w:val="center"/>
        </w:trPr>
        <w:tc>
          <w:tcPr>
            <w:tcW w:w="889"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hAnsi="宋体" w:eastAsia="宋体" w:cs="宋体"/>
                <w:color w:val="333333"/>
                <w:sz w:val="18"/>
                <w:szCs w:val="18"/>
              </w:rPr>
            </w:pPr>
          </w:p>
        </w:tc>
        <w:tc>
          <w:tcPr>
            <w:tcW w:w="45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color:#333333;" w:hAnsi="color:#333333;" w:eastAsia="color:#333333;" w:cs="color:#333333;"/>
                <w:color w:val="333333"/>
                <w:kern w:val="0"/>
                <w:sz w:val="24"/>
                <w:szCs w:val="24"/>
                <w:bdr w:val="none" w:color="auto" w:sz="0" w:space="0"/>
                <w:lang w:val="en-US" w:eastAsia="zh-CN" w:bidi="ar"/>
              </w:rPr>
              <w:t>推行老年志愿服务记录制度。</w:t>
            </w:r>
          </w:p>
        </w:tc>
        <w:tc>
          <w:tcPr>
            <w:tcW w:w="147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left"/>
            </w:pPr>
            <w:r>
              <w:rPr>
                <w:rFonts w:hint="default" w:ascii="color:#333333;" w:hAnsi="color:#333333;" w:eastAsia="color:#333333;" w:cs="color:#333333;"/>
                <w:color w:val="333333"/>
                <w:kern w:val="0"/>
                <w:sz w:val="24"/>
                <w:szCs w:val="24"/>
                <w:bdr w:val="none" w:color="auto" w:sz="0" w:space="0"/>
                <w:lang w:val="en-US" w:eastAsia="zh-CN" w:bidi="ar"/>
              </w:rPr>
              <w:t>省民政厅</w:t>
            </w:r>
          </w:p>
        </w:tc>
        <w:tc>
          <w:tcPr>
            <w:tcW w:w="140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color:#333333;" w:hAnsi="color:#333333;" w:eastAsia="color:#333333;" w:cs="color:#333333;"/>
                <w:color w:val="333333"/>
                <w:kern w:val="0"/>
                <w:sz w:val="24"/>
                <w:szCs w:val="24"/>
                <w:bdr w:val="none" w:color="auto" w:sz="0" w:space="0"/>
                <w:lang w:val="en-US" w:eastAsia="zh-CN" w:bidi="ar"/>
              </w:rPr>
              <w:t>省民政厅、省老龄办</w:t>
            </w:r>
          </w:p>
        </w:tc>
      </w:tr>
      <w:tr>
        <w:tblPrEx>
          <w:tblLayout w:type="fixed"/>
          <w:tblCellMar>
            <w:top w:w="0" w:type="dxa"/>
            <w:left w:w="0" w:type="dxa"/>
            <w:bottom w:w="0" w:type="dxa"/>
            <w:right w:w="0" w:type="dxa"/>
          </w:tblCellMar>
        </w:tblPrEx>
        <w:trPr>
          <w:jc w:val="center"/>
        </w:trPr>
        <w:tc>
          <w:tcPr>
            <w:tcW w:w="889"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hAnsi="宋体" w:eastAsia="宋体" w:cs="宋体"/>
                <w:color w:val="333333"/>
                <w:sz w:val="18"/>
                <w:szCs w:val="18"/>
              </w:rPr>
            </w:pPr>
          </w:p>
        </w:tc>
        <w:tc>
          <w:tcPr>
            <w:tcW w:w="45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color:#333333;" w:hAnsi="color:#333333;" w:eastAsia="color:#333333;" w:cs="color:#333333;"/>
                <w:color w:val="333333"/>
                <w:kern w:val="0"/>
                <w:sz w:val="24"/>
                <w:szCs w:val="24"/>
                <w:bdr w:val="none" w:color="auto" w:sz="0" w:space="0"/>
                <w:lang w:val="en-US" w:eastAsia="zh-CN" w:bidi="ar"/>
              </w:rPr>
              <w:t>引导基层老年社会组织规范发展，促进老年人通过老年社会组织实现自我管理、自我教育、自我服务和服务社会。</w:t>
            </w:r>
          </w:p>
        </w:tc>
        <w:tc>
          <w:tcPr>
            <w:tcW w:w="147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left"/>
            </w:pPr>
            <w:r>
              <w:rPr>
                <w:rFonts w:hint="default" w:ascii="color:#333333;" w:hAnsi="color:#333333;" w:eastAsia="color:#333333;" w:cs="color:#333333;"/>
                <w:color w:val="333333"/>
                <w:kern w:val="0"/>
                <w:sz w:val="24"/>
                <w:szCs w:val="24"/>
                <w:bdr w:val="none" w:color="auto" w:sz="0" w:space="0"/>
                <w:lang w:val="en-US" w:eastAsia="zh-CN" w:bidi="ar"/>
              </w:rPr>
              <w:t>省老龄办</w:t>
            </w:r>
          </w:p>
        </w:tc>
        <w:tc>
          <w:tcPr>
            <w:tcW w:w="140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color:#333333;" w:hAnsi="color:#333333;" w:eastAsia="color:#333333;" w:cs="color:#333333;"/>
                <w:color w:val="333333"/>
                <w:kern w:val="0"/>
                <w:sz w:val="24"/>
                <w:szCs w:val="24"/>
                <w:bdr w:val="none" w:color="auto" w:sz="0" w:space="0"/>
                <w:lang w:val="en-US" w:eastAsia="zh-CN" w:bidi="ar"/>
              </w:rPr>
              <w:t>省老龄办、省民政厅</w:t>
            </w:r>
          </w:p>
        </w:tc>
      </w:tr>
      <w:tr>
        <w:tblPrEx>
          <w:tblLayout w:type="fixed"/>
          <w:tblCellMar>
            <w:top w:w="0" w:type="dxa"/>
            <w:left w:w="0" w:type="dxa"/>
            <w:bottom w:w="0" w:type="dxa"/>
            <w:right w:w="0" w:type="dxa"/>
          </w:tblCellMar>
        </w:tblPrEx>
        <w:trPr>
          <w:jc w:val="center"/>
        </w:trPr>
        <w:tc>
          <w:tcPr>
            <w:tcW w:w="88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color:#333333;" w:hAnsi="color:#333333;" w:eastAsia="color:#333333;" w:cs="color:#333333;"/>
                <w:color w:val="333333"/>
                <w:kern w:val="0"/>
                <w:sz w:val="24"/>
                <w:szCs w:val="24"/>
                <w:bdr w:val="none" w:color="auto" w:sz="0" w:space="0"/>
                <w:lang w:val="en-US" w:eastAsia="zh-CN" w:bidi="ar"/>
              </w:rPr>
              <w:t>老年人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color:#333333;" w:hAnsi="color:#333333;" w:eastAsia="color:#333333;" w:cs="color:#333333;"/>
                <w:color w:val="333333"/>
                <w:kern w:val="0"/>
                <w:sz w:val="24"/>
                <w:szCs w:val="24"/>
                <w:bdr w:val="none" w:color="auto" w:sz="0" w:space="0"/>
                <w:lang w:val="en-US" w:eastAsia="zh-CN" w:bidi="ar"/>
              </w:rPr>
              <w:t>合法权益</w:t>
            </w:r>
          </w:p>
        </w:tc>
        <w:tc>
          <w:tcPr>
            <w:tcW w:w="45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color:#333333;" w:hAnsi="color:#333333;" w:eastAsia="color:#333333;" w:cs="color:#333333;"/>
                <w:color w:val="333333"/>
                <w:kern w:val="0"/>
                <w:sz w:val="24"/>
                <w:szCs w:val="24"/>
                <w:bdr w:val="none" w:color="auto" w:sz="0" w:space="0"/>
                <w:lang w:val="en-US" w:eastAsia="zh-CN" w:bidi="ar"/>
              </w:rPr>
              <w:t>宣传贯彻落实《安徽省实施〈中华人民共和国老年人权益保障法〉办法》，完善配套政策法规。健全贯彻老年人权益保障法律法规的联合执法、执法检查、综合评估等制度。做好信访工作。探索建立老年人法律维权热线。扩大老年人法律援助范围。重点做好农村和贫困、高龄、空巢、独居、失能等特殊困难老年群体的法律服务、法律援助和司法救助。加强老年人权益保障法律法规普法宣传教育。</w:t>
            </w:r>
          </w:p>
        </w:tc>
        <w:tc>
          <w:tcPr>
            <w:tcW w:w="147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left"/>
            </w:pPr>
            <w:r>
              <w:rPr>
                <w:rFonts w:hint="default" w:ascii="color:#333333;" w:hAnsi="color:#333333;" w:eastAsia="color:#333333;" w:cs="color:#333333;"/>
                <w:color w:val="333333"/>
                <w:kern w:val="0"/>
                <w:sz w:val="24"/>
                <w:szCs w:val="24"/>
                <w:bdr w:val="none" w:color="auto" w:sz="0" w:space="0"/>
                <w:lang w:val="en-US" w:eastAsia="zh-CN" w:bidi="ar"/>
              </w:rPr>
              <w:t>省老龄办</w:t>
            </w:r>
          </w:p>
        </w:tc>
        <w:tc>
          <w:tcPr>
            <w:tcW w:w="140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color:#333333;" w:hAnsi="color:#333333;" w:eastAsia="color:#333333;" w:cs="color:#333333;"/>
                <w:color w:val="333333"/>
                <w:kern w:val="0"/>
                <w:sz w:val="24"/>
                <w:szCs w:val="24"/>
                <w:bdr w:val="none" w:color="auto" w:sz="0" w:space="0"/>
                <w:lang w:val="en-US" w:eastAsia="zh-CN" w:bidi="ar"/>
              </w:rPr>
              <w:t>省老龄办、省法制办、省司法厅、省民政厅、省高院、省发展改革委、省科技厅、省公安厅、省司法厅、省财政厅、省人力资源社会保障厅、省住房城乡建设厅、省交通运输厅、省农委、省商务厅、省文化厅、省卫生计生委、省新闻出版广电局、省体育局、省林业厅、省旅游局、省总工会</w:t>
            </w:r>
          </w:p>
        </w:tc>
      </w:tr>
      <w:tr>
        <w:tblPrEx>
          <w:tblLayout w:type="fixed"/>
          <w:tblCellMar>
            <w:top w:w="0" w:type="dxa"/>
            <w:left w:w="0" w:type="dxa"/>
            <w:bottom w:w="0" w:type="dxa"/>
            <w:right w:w="0" w:type="dxa"/>
          </w:tblCellMar>
        </w:tblPrEx>
        <w:trPr>
          <w:jc w:val="center"/>
        </w:trPr>
        <w:tc>
          <w:tcPr>
            <w:tcW w:w="889"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color:#333333;" w:hAnsi="color:#333333;" w:eastAsia="color:#333333;" w:cs="color:#333333;"/>
                <w:color w:val="333333"/>
                <w:kern w:val="0"/>
                <w:sz w:val="24"/>
                <w:szCs w:val="24"/>
                <w:bdr w:val="none" w:color="auto" w:sz="0" w:space="0"/>
                <w:lang w:val="en-US" w:eastAsia="zh-CN" w:bidi="ar"/>
              </w:rPr>
              <w:t>老龄工作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color:#333333;" w:hAnsi="color:#333333;" w:eastAsia="color:#333333;" w:cs="color:#333333;"/>
                <w:color w:val="333333"/>
                <w:kern w:val="0"/>
                <w:sz w:val="24"/>
                <w:szCs w:val="24"/>
                <w:bdr w:val="none" w:color="auto" w:sz="0" w:space="0"/>
                <w:lang w:val="en-US" w:eastAsia="zh-CN" w:bidi="ar"/>
              </w:rPr>
              <w:t>基础和保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color:#333333;" w:hAnsi="color:#333333;" w:eastAsia="color:#333333;" w:cs="color:#333333;"/>
                <w:color w:val="333333"/>
                <w:kern w:val="0"/>
                <w:sz w:val="24"/>
                <w:szCs w:val="24"/>
                <w:bdr w:val="none" w:color="auto" w:sz="0" w:space="0"/>
                <w:lang w:val="en-US" w:eastAsia="zh-CN" w:bidi="ar"/>
              </w:rPr>
              <w:t>障措施</w:t>
            </w:r>
          </w:p>
        </w:tc>
        <w:tc>
          <w:tcPr>
            <w:tcW w:w="45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color:#333333;" w:hAnsi="color:#333333;" w:eastAsia="color:#333333;" w:cs="color:#333333;"/>
                <w:color w:val="333333"/>
                <w:kern w:val="0"/>
                <w:sz w:val="24"/>
                <w:szCs w:val="24"/>
                <w:bdr w:val="none" w:color="auto" w:sz="0" w:space="0"/>
                <w:lang w:val="en-US" w:eastAsia="zh-CN" w:bidi="ar"/>
              </w:rPr>
              <w:t>将本规划主要任务指标纳入经济社会发展规划，纳入政府工作议事日程和目标管理绩效考核内容。</w:t>
            </w:r>
          </w:p>
        </w:tc>
        <w:tc>
          <w:tcPr>
            <w:tcW w:w="147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color:#333333;" w:hAnsi="color:#333333;" w:eastAsia="color:#333333;" w:cs="color:#333333;"/>
                <w:color w:val="333333"/>
                <w:kern w:val="0"/>
                <w:sz w:val="24"/>
                <w:szCs w:val="24"/>
                <w:bdr w:val="none" w:color="auto" w:sz="0" w:space="0"/>
                <w:lang w:val="en-US" w:eastAsia="zh-CN" w:bidi="ar"/>
              </w:rPr>
              <w:t>省政府督查室、省发展改革委</w:t>
            </w:r>
          </w:p>
        </w:tc>
        <w:tc>
          <w:tcPr>
            <w:tcW w:w="140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color:#333333;" w:hAnsi="color:#333333;" w:eastAsia="color:#333333;" w:cs="color:#333333;"/>
                <w:color w:val="333333"/>
                <w:kern w:val="0"/>
                <w:sz w:val="24"/>
                <w:szCs w:val="24"/>
                <w:bdr w:val="none" w:color="auto" w:sz="0" w:space="0"/>
                <w:lang w:val="en-US" w:eastAsia="zh-CN" w:bidi="ar"/>
              </w:rPr>
              <w:t>省政府督查室、省发展改革委、省财政厅</w:t>
            </w:r>
          </w:p>
        </w:tc>
      </w:tr>
      <w:tr>
        <w:tblPrEx>
          <w:tblLayout w:type="fixed"/>
          <w:tblCellMar>
            <w:top w:w="0" w:type="dxa"/>
            <w:left w:w="0" w:type="dxa"/>
            <w:bottom w:w="0" w:type="dxa"/>
            <w:right w:w="0" w:type="dxa"/>
          </w:tblCellMar>
        </w:tblPrEx>
        <w:trPr>
          <w:jc w:val="center"/>
        </w:trPr>
        <w:tc>
          <w:tcPr>
            <w:tcW w:w="889"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hAnsi="宋体" w:eastAsia="宋体" w:cs="宋体"/>
                <w:color w:val="333333"/>
                <w:sz w:val="18"/>
                <w:szCs w:val="18"/>
              </w:rPr>
            </w:pPr>
          </w:p>
        </w:tc>
        <w:tc>
          <w:tcPr>
            <w:tcW w:w="45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color:#333333;" w:hAnsi="color:#333333;" w:eastAsia="color:#333333;" w:cs="color:#333333;"/>
                <w:color w:val="333333"/>
                <w:kern w:val="0"/>
                <w:sz w:val="24"/>
                <w:szCs w:val="24"/>
                <w:bdr w:val="none" w:color="auto" w:sz="0" w:space="0"/>
                <w:lang w:val="en-US" w:eastAsia="zh-CN" w:bidi="ar"/>
              </w:rPr>
              <w:t>健全完善全省老龄基本信息库。建立完善老龄基础数据年度发布制度。</w:t>
            </w:r>
          </w:p>
        </w:tc>
        <w:tc>
          <w:tcPr>
            <w:tcW w:w="147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left"/>
            </w:pPr>
            <w:r>
              <w:rPr>
                <w:rFonts w:hint="default" w:ascii="color:#333333;" w:hAnsi="color:#333333;" w:eastAsia="color:#333333;" w:cs="color:#333333;"/>
                <w:color w:val="333333"/>
                <w:kern w:val="0"/>
                <w:sz w:val="24"/>
                <w:szCs w:val="24"/>
                <w:bdr w:val="none" w:color="auto" w:sz="0" w:space="0"/>
                <w:lang w:val="en-US" w:eastAsia="zh-CN" w:bidi="ar"/>
              </w:rPr>
              <w:t>省老龄办</w:t>
            </w:r>
          </w:p>
        </w:tc>
        <w:tc>
          <w:tcPr>
            <w:tcW w:w="140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color:#333333;" w:hAnsi="color:#333333;" w:eastAsia="color:#333333;" w:cs="color:#333333;"/>
                <w:color w:val="333333"/>
                <w:kern w:val="0"/>
                <w:sz w:val="24"/>
                <w:szCs w:val="24"/>
                <w:bdr w:val="none" w:color="auto" w:sz="0" w:space="0"/>
                <w:lang w:val="en-US" w:eastAsia="zh-CN" w:bidi="ar"/>
              </w:rPr>
              <w:t>省老龄办、省统计局、省发展改革委、省公安厅、省人力资源社会保障厅、省卫生计生委、省司法厅、省教育厅、省文化厅、省体育局</w:t>
            </w:r>
          </w:p>
        </w:tc>
      </w:tr>
      <w:tr>
        <w:tblPrEx>
          <w:tblLayout w:type="fixed"/>
          <w:tblCellMar>
            <w:top w:w="0" w:type="dxa"/>
            <w:left w:w="0" w:type="dxa"/>
            <w:bottom w:w="0" w:type="dxa"/>
            <w:right w:w="0" w:type="dxa"/>
          </w:tblCellMar>
        </w:tblPrEx>
        <w:trPr>
          <w:jc w:val="center"/>
        </w:trPr>
        <w:tc>
          <w:tcPr>
            <w:tcW w:w="889"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hAnsi="宋体" w:eastAsia="宋体" w:cs="宋体"/>
                <w:color w:val="333333"/>
                <w:sz w:val="18"/>
                <w:szCs w:val="18"/>
              </w:rPr>
            </w:pPr>
          </w:p>
        </w:tc>
        <w:tc>
          <w:tcPr>
            <w:tcW w:w="45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color:#333333;" w:hAnsi="color:#333333;" w:eastAsia="color:#333333;" w:cs="color:#333333;"/>
                <w:color w:val="333333"/>
                <w:kern w:val="0"/>
                <w:sz w:val="24"/>
                <w:szCs w:val="24"/>
                <w:bdr w:val="none" w:color="auto" w:sz="0" w:space="0"/>
                <w:lang w:val="en-US" w:eastAsia="zh-CN" w:bidi="ar"/>
              </w:rPr>
              <w:t>根据经济社会发展状况和老年人口增长情况，建立与老龄事业发展水平相适应的投入机制。将福利彩票公益金的50%以上资金用于支持养老服务业。形成财政资金、社会资本、慈善基金等多元结合的老龄事业投入机制。</w:t>
            </w:r>
          </w:p>
        </w:tc>
        <w:tc>
          <w:tcPr>
            <w:tcW w:w="147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left"/>
            </w:pPr>
            <w:r>
              <w:rPr>
                <w:rFonts w:hint="default" w:ascii="color:#333333;" w:hAnsi="color:#333333;" w:eastAsia="color:#333333;" w:cs="color:#333333;"/>
                <w:color w:val="333333"/>
                <w:kern w:val="0"/>
                <w:sz w:val="24"/>
                <w:szCs w:val="24"/>
                <w:bdr w:val="none" w:color="auto" w:sz="0" w:space="0"/>
                <w:lang w:val="en-US" w:eastAsia="zh-CN" w:bidi="ar"/>
              </w:rPr>
              <w:t>省财政厅</w:t>
            </w:r>
          </w:p>
        </w:tc>
        <w:tc>
          <w:tcPr>
            <w:tcW w:w="140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color:#333333;" w:hAnsi="color:#333333;" w:eastAsia="color:#333333;" w:cs="color:#333333;"/>
                <w:color w:val="333333"/>
                <w:kern w:val="0"/>
                <w:sz w:val="24"/>
                <w:szCs w:val="24"/>
                <w:bdr w:val="none" w:color="auto" w:sz="0" w:space="0"/>
                <w:lang w:val="en-US" w:eastAsia="zh-CN" w:bidi="ar"/>
              </w:rPr>
              <w:t>省财政厅、省民政厅</w:t>
            </w:r>
          </w:p>
        </w:tc>
      </w:tr>
      <w:tr>
        <w:tblPrEx>
          <w:tblLayout w:type="fixed"/>
          <w:tblCellMar>
            <w:top w:w="0" w:type="dxa"/>
            <w:left w:w="0" w:type="dxa"/>
            <w:bottom w:w="0" w:type="dxa"/>
            <w:right w:w="0" w:type="dxa"/>
          </w:tblCellMar>
        </w:tblPrEx>
        <w:trPr>
          <w:jc w:val="center"/>
        </w:trPr>
        <w:tc>
          <w:tcPr>
            <w:tcW w:w="889"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hAnsi="宋体" w:eastAsia="宋体" w:cs="宋体"/>
                <w:color w:val="333333"/>
                <w:sz w:val="18"/>
                <w:szCs w:val="18"/>
              </w:rPr>
            </w:pPr>
          </w:p>
        </w:tc>
        <w:tc>
          <w:tcPr>
            <w:tcW w:w="45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color:#333333;" w:hAnsi="color:#333333;" w:eastAsia="color:#333333;" w:cs="color:#333333;"/>
                <w:color w:val="333333"/>
                <w:kern w:val="0"/>
                <w:sz w:val="24"/>
                <w:szCs w:val="24"/>
                <w:bdr w:val="none" w:color="auto" w:sz="0" w:space="0"/>
                <w:lang w:val="en-US" w:eastAsia="zh-CN" w:bidi="ar"/>
              </w:rPr>
              <w:t>将养老服务人才培养纳入人才培养规划，推进涉老相关专业教育体系建设。</w:t>
            </w:r>
          </w:p>
        </w:tc>
        <w:tc>
          <w:tcPr>
            <w:tcW w:w="147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60"/>
              <w:jc w:val="left"/>
            </w:pPr>
            <w:r>
              <w:rPr>
                <w:rFonts w:hint="default" w:ascii="color:#333333;" w:hAnsi="color:#333333;" w:eastAsia="color:#333333;" w:cs="color:#333333;"/>
                <w:color w:val="333333"/>
                <w:kern w:val="0"/>
                <w:sz w:val="24"/>
                <w:szCs w:val="24"/>
                <w:bdr w:val="none" w:color="auto" w:sz="0" w:space="0"/>
                <w:lang w:val="en-US" w:eastAsia="zh-CN" w:bidi="ar"/>
              </w:rPr>
              <w:t>省委组织部</w:t>
            </w:r>
          </w:p>
        </w:tc>
        <w:tc>
          <w:tcPr>
            <w:tcW w:w="140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color:#333333;" w:hAnsi="color:#333333;" w:eastAsia="color:#333333;" w:cs="color:#333333;"/>
                <w:color w:val="333333"/>
                <w:kern w:val="0"/>
                <w:sz w:val="24"/>
                <w:szCs w:val="24"/>
                <w:bdr w:val="none" w:color="auto" w:sz="0" w:space="0"/>
                <w:lang w:val="en-US" w:eastAsia="zh-CN" w:bidi="ar"/>
              </w:rPr>
              <w:t>省委组织部、省人力资源社会保障厅、省发展改革委、省教育厅、省民政厅、省老龄办</w:t>
            </w:r>
          </w:p>
        </w:tc>
      </w:tr>
      <w:tr>
        <w:tblPrEx>
          <w:tblLayout w:type="fixed"/>
          <w:tblCellMar>
            <w:top w:w="0" w:type="dxa"/>
            <w:left w:w="0" w:type="dxa"/>
            <w:bottom w:w="0" w:type="dxa"/>
            <w:right w:w="0" w:type="dxa"/>
          </w:tblCellMar>
        </w:tblPrEx>
        <w:trPr>
          <w:jc w:val="center"/>
        </w:trPr>
        <w:tc>
          <w:tcPr>
            <w:tcW w:w="889"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hAnsi="宋体" w:eastAsia="宋体" w:cs="宋体"/>
                <w:color w:val="333333"/>
                <w:sz w:val="18"/>
                <w:szCs w:val="18"/>
              </w:rPr>
            </w:pPr>
          </w:p>
        </w:tc>
        <w:tc>
          <w:tcPr>
            <w:tcW w:w="45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color:#333333;" w:hAnsi="color:#333333;" w:eastAsia="color:#333333;" w:cs="color:#333333;"/>
                <w:color w:val="333333"/>
                <w:kern w:val="0"/>
                <w:sz w:val="24"/>
                <w:szCs w:val="24"/>
                <w:bdr w:val="none" w:color="auto" w:sz="0" w:space="0"/>
                <w:lang w:val="en-US" w:eastAsia="zh-CN" w:bidi="ar"/>
              </w:rPr>
              <w:t>进一步完善老龄工作机制，保证城乡社区老龄工作有人抓、老年人事情有人管、老年人困难有人帮。</w:t>
            </w:r>
          </w:p>
        </w:tc>
        <w:tc>
          <w:tcPr>
            <w:tcW w:w="147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left"/>
            </w:pPr>
            <w:r>
              <w:rPr>
                <w:rFonts w:hint="default" w:ascii="color:#333333;" w:hAnsi="color:#333333;" w:eastAsia="color:#333333;" w:cs="color:#333333;"/>
                <w:color w:val="333333"/>
                <w:kern w:val="0"/>
                <w:sz w:val="24"/>
                <w:szCs w:val="24"/>
                <w:bdr w:val="none" w:color="auto" w:sz="0" w:space="0"/>
                <w:lang w:val="en-US" w:eastAsia="zh-CN" w:bidi="ar"/>
              </w:rPr>
              <w:t>省民政厅</w:t>
            </w:r>
          </w:p>
        </w:tc>
        <w:tc>
          <w:tcPr>
            <w:tcW w:w="140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color:#333333;" w:hAnsi="color:#333333;" w:eastAsia="color:#333333;" w:cs="color:#333333;"/>
                <w:color w:val="333333"/>
                <w:kern w:val="0"/>
                <w:sz w:val="24"/>
                <w:szCs w:val="24"/>
                <w:bdr w:val="none" w:color="auto" w:sz="0" w:space="0"/>
                <w:lang w:val="en-US" w:eastAsia="zh-CN" w:bidi="ar"/>
              </w:rPr>
              <w:t>省民政厅、省老龄办</w:t>
            </w:r>
          </w:p>
        </w:tc>
      </w:tr>
      <w:tr>
        <w:tblPrEx>
          <w:tblLayout w:type="fixed"/>
          <w:tblCellMar>
            <w:top w:w="0" w:type="dxa"/>
            <w:left w:w="0" w:type="dxa"/>
            <w:bottom w:w="0" w:type="dxa"/>
            <w:right w:w="0" w:type="dxa"/>
          </w:tblCellMar>
        </w:tblPrEx>
        <w:trPr>
          <w:jc w:val="center"/>
        </w:trPr>
        <w:tc>
          <w:tcPr>
            <w:tcW w:w="889"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color:#333333;" w:hAnsi="color:#333333;" w:eastAsia="color:#333333;" w:cs="color:#333333;"/>
                <w:color w:val="333333"/>
                <w:kern w:val="0"/>
                <w:sz w:val="24"/>
                <w:szCs w:val="24"/>
                <w:bdr w:val="none" w:color="auto" w:sz="0" w:space="0"/>
                <w:lang w:val="en-US" w:eastAsia="zh-CN" w:bidi="ar"/>
              </w:rPr>
              <w:t>老龄工作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color:#333333;" w:hAnsi="color:#333333;" w:eastAsia="color:#333333;" w:cs="color:#333333;"/>
                <w:color w:val="333333"/>
                <w:kern w:val="0"/>
                <w:sz w:val="24"/>
                <w:szCs w:val="24"/>
                <w:bdr w:val="none" w:color="auto" w:sz="0" w:space="0"/>
                <w:lang w:val="en-US" w:eastAsia="zh-CN" w:bidi="ar"/>
              </w:rPr>
              <w:t>基础和保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color:#333333;" w:hAnsi="color:#333333;" w:eastAsia="color:#333333;" w:cs="color:#333333;"/>
                <w:color w:val="333333"/>
                <w:kern w:val="0"/>
                <w:sz w:val="24"/>
                <w:szCs w:val="24"/>
                <w:bdr w:val="none" w:color="auto" w:sz="0" w:space="0"/>
                <w:lang w:val="en-US" w:eastAsia="zh-CN" w:bidi="ar"/>
              </w:rPr>
              <w:t>障措施</w:t>
            </w:r>
          </w:p>
        </w:tc>
        <w:tc>
          <w:tcPr>
            <w:tcW w:w="45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color:#333333;" w:hAnsi="color:#333333;" w:eastAsia="color:#333333;" w:cs="color:#333333;"/>
                <w:color w:val="333333"/>
                <w:kern w:val="0"/>
                <w:sz w:val="24"/>
                <w:szCs w:val="24"/>
                <w:bdr w:val="none" w:color="auto" w:sz="0" w:space="0"/>
                <w:lang w:val="en-US" w:eastAsia="zh-CN" w:bidi="ar"/>
              </w:rPr>
              <w:t>建立全省老龄事业发展报告年度发布制度。组建全省老龄问题专家智库，健全重大决策专家咨询制度。开展全省老龄专题政策调研，深化调研成果转化与运用。</w:t>
            </w:r>
          </w:p>
        </w:tc>
        <w:tc>
          <w:tcPr>
            <w:tcW w:w="147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left"/>
            </w:pPr>
            <w:r>
              <w:rPr>
                <w:rFonts w:hint="default" w:ascii="color:#333333;" w:hAnsi="color:#333333;" w:eastAsia="color:#333333;" w:cs="color:#333333;"/>
                <w:color w:val="333333"/>
                <w:kern w:val="0"/>
                <w:sz w:val="24"/>
                <w:szCs w:val="24"/>
                <w:bdr w:val="none" w:color="auto" w:sz="0" w:space="0"/>
                <w:lang w:val="en-US" w:eastAsia="zh-CN" w:bidi="ar"/>
              </w:rPr>
              <w:t>省老龄办</w:t>
            </w:r>
          </w:p>
        </w:tc>
        <w:tc>
          <w:tcPr>
            <w:tcW w:w="140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color:#333333;" w:hAnsi="color:#333333;" w:eastAsia="color:#333333;" w:cs="color:#333333;"/>
                <w:color w:val="333333"/>
                <w:kern w:val="0"/>
                <w:sz w:val="24"/>
                <w:szCs w:val="24"/>
                <w:bdr w:val="none" w:color="auto" w:sz="0" w:space="0"/>
                <w:lang w:val="en-US" w:eastAsia="zh-CN" w:bidi="ar"/>
              </w:rPr>
              <w:t>省老龄办、省民政厅、省人力资源社会保障厅、省卫生计生委、省统计局、省财政厅、省科技厅、省住房城乡建设厅、省司法厅、省教育厅、省文化厅、省体育局、省统计局、省旅游局、省农委、省关工委</w:t>
            </w:r>
          </w:p>
        </w:tc>
      </w:tr>
      <w:tr>
        <w:tblPrEx>
          <w:tblLayout w:type="fixed"/>
          <w:tblCellMar>
            <w:top w:w="0" w:type="dxa"/>
            <w:left w:w="0" w:type="dxa"/>
            <w:bottom w:w="0" w:type="dxa"/>
            <w:right w:w="0" w:type="dxa"/>
          </w:tblCellMar>
        </w:tblPrEx>
        <w:trPr>
          <w:jc w:val="center"/>
        </w:trPr>
        <w:tc>
          <w:tcPr>
            <w:tcW w:w="889"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hAnsi="宋体" w:eastAsia="宋体" w:cs="宋体"/>
                <w:color w:val="333333"/>
                <w:sz w:val="18"/>
                <w:szCs w:val="18"/>
              </w:rPr>
            </w:pPr>
          </w:p>
        </w:tc>
        <w:tc>
          <w:tcPr>
            <w:tcW w:w="45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color:#333333;" w:hAnsi="color:#333333;" w:eastAsia="color:#333333;" w:cs="color:#333333;"/>
                <w:color w:val="333333"/>
                <w:kern w:val="0"/>
                <w:sz w:val="24"/>
                <w:szCs w:val="24"/>
                <w:bdr w:val="none" w:color="auto" w:sz="0" w:space="0"/>
                <w:lang w:val="en-US" w:eastAsia="zh-CN" w:bidi="ar"/>
              </w:rPr>
              <w:t>坚持正确舆论导向，充分发挥新闻媒体、老龄媒体等各类媒体的作用，整合涉老部门宣传资源，健全老龄宣传工作机制。</w:t>
            </w:r>
          </w:p>
        </w:tc>
        <w:tc>
          <w:tcPr>
            <w:tcW w:w="147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60"/>
              <w:jc w:val="left"/>
            </w:pPr>
            <w:r>
              <w:rPr>
                <w:rFonts w:hint="default" w:ascii="color:#333333;" w:hAnsi="color:#333333;" w:eastAsia="color:#333333;" w:cs="color:#333333;"/>
                <w:color w:val="333333"/>
                <w:kern w:val="0"/>
                <w:sz w:val="24"/>
                <w:szCs w:val="24"/>
                <w:bdr w:val="none" w:color="auto" w:sz="0" w:space="0"/>
                <w:lang w:val="en-US" w:eastAsia="zh-CN" w:bidi="ar"/>
              </w:rPr>
              <w:t>省委宣传部</w:t>
            </w:r>
          </w:p>
        </w:tc>
        <w:tc>
          <w:tcPr>
            <w:tcW w:w="140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color:#333333;" w:hAnsi="color:#333333;" w:eastAsia="color:#333333;" w:cs="color:#333333;"/>
                <w:color w:val="333333"/>
                <w:kern w:val="0"/>
                <w:sz w:val="24"/>
                <w:szCs w:val="24"/>
                <w:bdr w:val="none" w:color="auto" w:sz="0" w:space="0"/>
                <w:lang w:val="en-US" w:eastAsia="zh-CN" w:bidi="ar"/>
              </w:rPr>
              <w:t>省委宣传部、省老龄办、省新闻出版广电局</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asciiTheme="minorHAnsi" w:hAnsiTheme="minorHAnsi" w:eastAsiaTheme="minorEastAsia" w:cstheme="minorBidi"/>
          <w:kern w:val="0"/>
          <w:sz w:val="24"/>
          <w:szCs w:val="24"/>
          <w:bdr w:val="none" w:color="auto" w:sz="0" w:space="0"/>
          <w:lang w:val="en-US" w:eastAsia="zh-CN" w:bidi="ar"/>
        </w:rPr>
        <w:t> </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61007A87" w:usb1="80000000" w:usb2="00000008" w:usb3="00000000" w:csb0="200101FF" w:csb1="20280000"/>
  </w:font>
  <w:font w:name="Arial">
    <w:panose1 w:val="020B0604020202020204"/>
    <w:charset w:val="00"/>
    <w:family w:val="auto"/>
    <w:pitch w:val="default"/>
    <w:sig w:usb0="00007A87" w:usb1="80000000" w:usb2="00000008" w:usb3="00000000" w:csb0="400001FF" w:csb1="FFFF0000"/>
  </w:font>
  <w:font w:name="color:#333333;">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
    <w:altName w:val="Courier New"/>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8B4C37"/>
    <w:rsid w:val="738B4C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rPr>
      <w:sz w:val="24"/>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2017-07-28T00:55:00Z</dcterms:created>
  <dc:creator>Administrator</dc:creator>
  <cp:lastModifiedBy>Administrator</cp:lastModifiedBy>
  <dcterms:modified xsi:type="dcterms:W3CDTF">2017-07-28T01:55:14Z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